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0" w:firstLineChars="100"/>
        <w:rPr>
          <w:rFonts w:ascii="宋体" w:hAnsi="宋体" w:eastAsia="宋体" w:cs="宋体"/>
        </w:rPr>
      </w:pPr>
      <w:r>
        <w:rPr>
          <w:rFonts w:hint="eastAsia" w:ascii="宋体" w:hAnsi="宋体" w:eastAsia="宋体" w:cs="宋体"/>
        </w:rPr>
        <w:t xml:space="preserve"> </w:t>
      </w:r>
    </w:p>
    <w:p>
      <w:pPr>
        <w:ind w:firstLine="480"/>
        <w:rPr>
          <w:rFonts w:ascii="宋体" w:hAnsi="宋体" w:eastAsia="宋体" w:cs="宋体"/>
        </w:rPr>
      </w:pPr>
    </w:p>
    <w:p>
      <w:pPr>
        <w:pStyle w:val="4"/>
        <w:spacing w:before="312" w:after="312" w:line="360" w:lineRule="auto"/>
        <w:rPr>
          <w:rFonts w:ascii="宋体" w:hAnsi="宋体" w:eastAsia="宋体" w:cs="宋体"/>
          <w:w w:val="90"/>
          <w:sz w:val="84"/>
          <w:szCs w:val="84"/>
        </w:rPr>
      </w:pPr>
      <w:bookmarkStart w:id="0" w:name="_Toc13666"/>
      <w:bookmarkStart w:id="1" w:name="_Toc32425"/>
      <w:bookmarkStart w:id="2" w:name="_Toc30991"/>
      <w:bookmarkStart w:id="3" w:name="_Toc2194"/>
      <w:r>
        <w:rPr>
          <w:rFonts w:hint="eastAsia" w:ascii="宋体" w:hAnsi="宋体" w:eastAsia="宋体" w:cs="宋体"/>
          <w:w w:val="90"/>
          <w:sz w:val="84"/>
          <w:szCs w:val="84"/>
          <w:lang w:val="en-US" w:eastAsia="zh-CN"/>
        </w:rPr>
        <w:t xml:space="preserve"> </w:t>
      </w:r>
      <w:r>
        <w:rPr>
          <w:rFonts w:hint="eastAsia" w:ascii="宋体" w:hAnsi="宋体" w:eastAsia="宋体" w:cs="宋体"/>
          <w:w w:val="90"/>
          <w:sz w:val="84"/>
          <w:szCs w:val="84"/>
        </w:rPr>
        <w:t>招标采购文件</w:t>
      </w:r>
      <w:bookmarkEnd w:id="0"/>
      <w:bookmarkEnd w:id="1"/>
      <w:bookmarkEnd w:id="2"/>
      <w:bookmarkEnd w:id="3"/>
    </w:p>
    <w:p>
      <w:pPr>
        <w:ind w:left="0" w:leftChars="0" w:firstLine="0" w:firstLineChars="0"/>
        <w:jc w:val="center"/>
        <w:rPr>
          <w:sz w:val="52"/>
          <w:szCs w:val="52"/>
        </w:rPr>
      </w:pPr>
      <w:r>
        <w:rPr>
          <w:rFonts w:hint="eastAsia" w:ascii="宋体" w:hAnsi="宋体" w:cs="宋体"/>
          <w:sz w:val="52"/>
          <w:szCs w:val="52"/>
        </w:rPr>
        <w:t>（非政府采购）</w:t>
      </w:r>
    </w:p>
    <w:p>
      <w:pPr>
        <w:ind w:firstLine="482"/>
        <w:jc w:val="center"/>
        <w:rPr>
          <w:rFonts w:ascii="宋体" w:hAnsi="宋体" w:eastAsia="宋体" w:cs="宋体"/>
          <w:b/>
          <w:bCs/>
        </w:rPr>
      </w:pPr>
    </w:p>
    <w:p>
      <w:pPr>
        <w:snapToGrid w:val="0"/>
        <w:ind w:firstLine="0" w:firstLineChars="0"/>
        <w:rPr>
          <w:rFonts w:ascii="宋体" w:hAnsi="宋体" w:eastAsia="宋体" w:cs="宋体"/>
          <w:b/>
          <w:bCs/>
          <w:sz w:val="32"/>
          <w:szCs w:val="32"/>
          <w:lang w:val="zh-CN"/>
        </w:rPr>
      </w:pPr>
    </w:p>
    <w:p>
      <w:pPr>
        <w:pStyle w:val="2"/>
        <w:ind w:left="0" w:leftChars="0" w:firstLine="0" w:firstLineChars="0"/>
        <w:rPr>
          <w:rFonts w:ascii="宋体" w:hAnsi="宋体" w:eastAsia="宋体" w:cs="宋体"/>
          <w:b/>
          <w:bCs/>
          <w:sz w:val="32"/>
          <w:szCs w:val="32"/>
          <w:lang w:val="zh-CN"/>
        </w:rPr>
      </w:pPr>
    </w:p>
    <w:p>
      <w:pPr>
        <w:pStyle w:val="2"/>
        <w:ind w:left="480" w:firstLine="643"/>
        <w:rPr>
          <w:rFonts w:ascii="宋体" w:hAnsi="宋体" w:eastAsia="宋体" w:cs="宋体"/>
          <w:b/>
          <w:bCs/>
          <w:sz w:val="32"/>
          <w:szCs w:val="32"/>
          <w:lang w:val="zh-CN"/>
        </w:rPr>
      </w:pPr>
    </w:p>
    <w:p>
      <w:pPr>
        <w:snapToGrid w:val="0"/>
        <w:spacing w:line="480" w:lineRule="auto"/>
        <w:ind w:firstLine="1285" w:firstLineChars="400"/>
        <w:rPr>
          <w:rFonts w:ascii="宋体" w:hAnsi="宋体" w:eastAsia="宋体" w:cs="宋体"/>
          <w:b/>
          <w:bCs/>
          <w:sz w:val="32"/>
          <w:szCs w:val="32"/>
          <w:lang w:val="zh-CN"/>
        </w:rPr>
      </w:pPr>
    </w:p>
    <w:p>
      <w:pPr>
        <w:snapToGrid w:val="0"/>
        <w:spacing w:line="720" w:lineRule="auto"/>
        <w:ind w:firstLine="803" w:firstLineChars="250"/>
        <w:rPr>
          <w:rFonts w:ascii="宋体" w:hAnsi="宋体" w:eastAsia="宋体" w:cs="宋体"/>
          <w:b/>
          <w:bCs/>
          <w:sz w:val="32"/>
          <w:szCs w:val="32"/>
        </w:rPr>
      </w:pPr>
      <w:r>
        <w:rPr>
          <w:rFonts w:hint="eastAsia" w:ascii="宋体" w:hAnsi="宋体" w:eastAsia="宋体" w:cs="宋体"/>
          <w:b/>
          <w:bCs/>
          <w:sz w:val="32"/>
          <w:szCs w:val="32"/>
          <w:lang w:val="zh-CN"/>
        </w:rPr>
        <w:t>项目编号：</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u w:val="single"/>
          <w:lang w:eastAsia="zh-CN"/>
        </w:rPr>
        <w:t xml:space="preserve">LYCG2025TY-018 </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u w:val="single"/>
          <w:lang w:val="en-US" w:eastAsia="zh-CN"/>
        </w:rPr>
        <w:t xml:space="preserve">    </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u w:val="single"/>
          <w:lang w:val="zh-CN"/>
        </w:rPr>
        <w:t xml:space="preserve"> </w:t>
      </w:r>
      <w:r>
        <w:rPr>
          <w:rFonts w:hint="eastAsia" w:ascii="宋体" w:hAnsi="宋体" w:eastAsia="宋体" w:cs="宋体"/>
          <w:b/>
          <w:bCs/>
          <w:sz w:val="32"/>
          <w:szCs w:val="32"/>
        </w:rPr>
        <w:t xml:space="preserve">          </w:t>
      </w:r>
    </w:p>
    <w:p>
      <w:pPr>
        <w:widowControl/>
        <w:spacing w:line="360" w:lineRule="auto"/>
        <w:ind w:firstLine="800" w:firstLineChars="0"/>
        <w:rPr>
          <w:rFonts w:hint="default" w:ascii="宋体" w:hAnsi="宋体" w:eastAsia="宋体" w:cs="宋体"/>
          <w:b/>
          <w:bCs/>
          <w:sz w:val="32"/>
          <w:szCs w:val="32"/>
          <w:u w:val="single"/>
          <w:lang w:val="en-US" w:eastAsia="zh-CN"/>
        </w:rPr>
      </w:pPr>
      <w:r>
        <w:rPr>
          <w:rFonts w:hint="eastAsia" w:ascii="宋体" w:hAnsi="宋体" w:eastAsia="宋体" w:cs="宋体"/>
          <w:b/>
          <w:bCs/>
          <w:sz w:val="32"/>
          <w:szCs w:val="32"/>
          <w:lang w:val="zh-CN"/>
        </w:rPr>
        <w:t>项目名称：</w:t>
      </w:r>
      <w:r>
        <w:rPr>
          <w:rFonts w:hint="eastAsia" w:ascii="宋体" w:hAnsi="宋体" w:eastAsia="宋体" w:cs="宋体"/>
          <w:b/>
          <w:bCs/>
          <w:sz w:val="32"/>
          <w:szCs w:val="32"/>
          <w:u w:val="single"/>
          <w:lang w:val="en-US" w:eastAsia="zh-CN"/>
        </w:rPr>
        <w:t xml:space="preserve"> </w:t>
      </w:r>
      <w:r>
        <w:rPr>
          <w:rFonts w:hint="eastAsia" w:ascii="宋体" w:hAnsi="宋体" w:eastAsia="宋体" w:cs="宋体"/>
          <w:b/>
          <w:bCs/>
          <w:sz w:val="32"/>
          <w:szCs w:val="32"/>
          <w:u w:val="single"/>
          <w:lang w:val="zh-CN"/>
        </w:rPr>
        <w:t>2025年农村供水哈夫节采购项目</w:t>
      </w:r>
      <w:r>
        <w:rPr>
          <w:rFonts w:hint="eastAsia" w:ascii="宋体" w:hAnsi="宋体" w:eastAsia="宋体" w:cs="宋体"/>
          <w:b/>
          <w:bCs/>
          <w:sz w:val="32"/>
          <w:szCs w:val="32"/>
          <w:u w:val="single"/>
          <w:lang w:val="en-US" w:eastAsia="zh-CN"/>
        </w:rPr>
        <w:t xml:space="preserve">           </w:t>
      </w:r>
    </w:p>
    <w:p>
      <w:pPr>
        <w:pStyle w:val="47"/>
        <w:ind w:left="960" w:hanging="480"/>
      </w:pPr>
    </w:p>
    <w:p>
      <w:pPr>
        <w:snapToGrid w:val="0"/>
        <w:spacing w:line="600" w:lineRule="auto"/>
        <w:ind w:firstLine="819" w:firstLineChars="255"/>
        <w:rPr>
          <w:rFonts w:hint="eastAsia" w:ascii="宋体" w:hAnsi="宋体" w:eastAsia="宋体" w:cs="宋体"/>
          <w:b/>
          <w:bCs/>
          <w:sz w:val="32"/>
          <w:szCs w:val="32"/>
          <w:u w:val="single"/>
        </w:rPr>
      </w:pPr>
      <w:r>
        <w:rPr>
          <w:rFonts w:hint="eastAsia" w:ascii="宋体" w:hAnsi="宋体" w:eastAsia="宋体" w:cs="宋体"/>
          <w:b/>
          <w:bCs/>
          <w:sz w:val="32"/>
          <w:szCs w:val="32"/>
        </w:rPr>
        <w:t>采购</w:t>
      </w:r>
      <w:r>
        <w:rPr>
          <w:rFonts w:hint="eastAsia" w:ascii="宋体" w:hAnsi="宋体" w:eastAsia="宋体" w:cs="宋体"/>
          <w:b/>
          <w:bCs/>
          <w:sz w:val="32"/>
          <w:szCs w:val="32"/>
          <w:lang w:val="zh-CN"/>
        </w:rPr>
        <w:t>单位：</w:t>
      </w:r>
      <w:r>
        <w:rPr>
          <w:rFonts w:hint="eastAsia" w:ascii="宋体" w:hAnsi="宋体" w:eastAsia="宋体" w:cs="宋体"/>
          <w:b/>
          <w:bCs/>
          <w:sz w:val="32"/>
          <w:szCs w:val="32"/>
          <w:u w:val="single"/>
        </w:rPr>
        <w:t xml:space="preserve">  </w:t>
      </w:r>
      <w:bookmarkStart w:id="4" w:name="OLE_LINK1"/>
      <w:r>
        <w:rPr>
          <w:rFonts w:hint="eastAsia" w:ascii="宋体" w:hAnsi="宋体" w:eastAsia="宋体" w:cs="宋体"/>
          <w:b/>
          <w:bCs/>
          <w:sz w:val="32"/>
          <w:szCs w:val="32"/>
          <w:u w:val="single"/>
          <w:lang w:val="zh-CN"/>
        </w:rPr>
        <w:t>龙游华水农村供水发展有限公司</w:t>
      </w:r>
      <w:bookmarkEnd w:id="4"/>
      <w:r>
        <w:rPr>
          <w:rFonts w:hint="eastAsia" w:ascii="宋体" w:hAnsi="宋体" w:eastAsia="宋体" w:cs="宋体"/>
          <w:b/>
          <w:bCs/>
          <w:sz w:val="32"/>
          <w:szCs w:val="32"/>
          <w:u w:val="single"/>
        </w:rPr>
        <w:t xml:space="preserve">    </w:t>
      </w:r>
      <w:r>
        <w:rPr>
          <w:rFonts w:hint="eastAsia" w:ascii="宋体" w:hAnsi="宋体" w:eastAsia="宋体" w:cs="宋体"/>
          <w:b/>
          <w:bCs/>
          <w:sz w:val="32"/>
          <w:szCs w:val="32"/>
          <w:u w:val="single"/>
          <w:lang w:val="en-US" w:eastAsia="zh-CN"/>
        </w:rPr>
        <w:t xml:space="preserve">   </w:t>
      </w:r>
      <w:r>
        <w:rPr>
          <w:rFonts w:hint="eastAsia" w:ascii="宋体" w:hAnsi="宋体" w:eastAsia="宋体" w:cs="宋体"/>
          <w:b/>
          <w:bCs/>
          <w:sz w:val="32"/>
          <w:szCs w:val="32"/>
          <w:u w:val="single"/>
        </w:rPr>
        <w:t xml:space="preserve">  </w:t>
      </w:r>
    </w:p>
    <w:p>
      <w:pPr>
        <w:pStyle w:val="2"/>
        <w:rPr>
          <w:lang w:val="zh-CN"/>
        </w:rPr>
      </w:pPr>
    </w:p>
    <w:p>
      <w:pPr>
        <w:snapToGrid w:val="0"/>
        <w:spacing w:line="720" w:lineRule="auto"/>
        <w:ind w:firstLine="848" w:firstLineChars="264"/>
        <w:rPr>
          <w:rFonts w:ascii="宋体" w:hAnsi="宋体" w:eastAsia="宋体" w:cs="宋体"/>
          <w:b/>
          <w:bCs/>
          <w:sz w:val="32"/>
          <w:szCs w:val="32"/>
          <w:u w:val="single"/>
          <w:lang w:val="zh-CN"/>
        </w:rPr>
      </w:pPr>
      <w:r>
        <w:rPr>
          <w:rFonts w:hint="eastAsia" w:ascii="宋体" w:hAnsi="宋体" w:eastAsia="宋体" w:cs="宋体"/>
          <w:b/>
          <w:bCs/>
          <w:sz w:val="32"/>
          <w:szCs w:val="32"/>
          <w:lang w:val="zh-CN"/>
        </w:rPr>
        <w:t>代理机构：</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u w:val="single"/>
          <w:lang w:val="zh-CN"/>
        </w:rPr>
        <w:t>泰宇建筑工程技术咨询有限公司</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u w:val="single"/>
          <w:lang w:val="en-US" w:eastAsia="zh-CN"/>
        </w:rPr>
        <w:t xml:space="preserve">   </w:t>
      </w:r>
      <w:r>
        <w:rPr>
          <w:rFonts w:hint="eastAsia" w:ascii="宋体" w:hAnsi="宋体" w:eastAsia="宋体" w:cs="宋体"/>
          <w:b/>
          <w:bCs/>
          <w:sz w:val="32"/>
          <w:szCs w:val="32"/>
          <w:u w:val="single"/>
        </w:rPr>
        <w:t xml:space="preserve">  </w:t>
      </w:r>
    </w:p>
    <w:p>
      <w:pPr>
        <w:snapToGrid w:val="0"/>
        <w:spacing w:line="480" w:lineRule="auto"/>
        <w:ind w:left="0" w:leftChars="0" w:firstLine="0" w:firstLineChars="0"/>
        <w:jc w:val="center"/>
        <w:rPr>
          <w:rFonts w:ascii="宋体" w:hAnsi="宋体" w:eastAsia="宋体" w:cs="宋体"/>
          <w:b/>
          <w:bCs/>
          <w:sz w:val="32"/>
          <w:szCs w:val="32"/>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850" w:gutter="0"/>
          <w:cols w:space="720" w:num="1"/>
          <w:titlePg/>
          <w:docGrid w:linePitch="312" w:charSpace="0"/>
        </w:sectPr>
      </w:pPr>
      <w:r>
        <w:rPr>
          <w:rFonts w:hint="eastAsia" w:ascii="宋体" w:hAnsi="宋体" w:eastAsia="宋体" w:cs="宋体"/>
          <w:b/>
          <w:bCs/>
          <w:sz w:val="32"/>
          <w:szCs w:val="32"/>
          <w:lang w:val="zh-CN"/>
        </w:rPr>
        <w:t>二0二</w:t>
      </w:r>
      <w:r>
        <w:rPr>
          <w:rFonts w:hint="eastAsia" w:ascii="宋体" w:hAnsi="宋体" w:eastAsia="宋体" w:cs="宋体"/>
          <w:b/>
          <w:bCs/>
          <w:sz w:val="32"/>
          <w:szCs w:val="32"/>
          <w:lang w:val="en-US" w:eastAsia="zh-CN"/>
        </w:rPr>
        <w:t>五</w:t>
      </w:r>
      <w:r>
        <w:rPr>
          <w:rFonts w:hint="eastAsia" w:ascii="宋体" w:hAnsi="宋体" w:eastAsia="宋体" w:cs="宋体"/>
          <w:b/>
          <w:bCs/>
          <w:sz w:val="32"/>
          <w:szCs w:val="32"/>
          <w:lang w:val="zh-CN"/>
        </w:rPr>
        <w:t>年</w:t>
      </w:r>
      <w:r>
        <w:rPr>
          <w:rFonts w:hint="eastAsia" w:ascii="宋体" w:hAnsi="宋体" w:eastAsia="宋体" w:cs="宋体"/>
          <w:b/>
          <w:bCs/>
          <w:sz w:val="32"/>
          <w:szCs w:val="32"/>
          <w:lang w:val="en-US" w:eastAsia="zh-CN"/>
        </w:rPr>
        <w:t>三</w:t>
      </w:r>
      <w:r>
        <w:rPr>
          <w:rFonts w:hint="eastAsia" w:ascii="宋体" w:hAnsi="宋体" w:eastAsia="宋体" w:cs="宋体"/>
          <w:b/>
          <w:bCs/>
          <w:sz w:val="32"/>
          <w:szCs w:val="32"/>
          <w:lang w:val="zh-CN"/>
        </w:rPr>
        <w:t>月</w:t>
      </w:r>
    </w:p>
    <w:p>
      <w:pPr>
        <w:snapToGrid w:val="0"/>
        <w:ind w:firstLine="0" w:firstLineChars="0"/>
        <w:jc w:val="center"/>
        <w:rPr>
          <w:rFonts w:ascii="宋体" w:hAnsi="宋体" w:eastAsia="宋体" w:cs="宋体"/>
          <w:color w:val="000000"/>
          <w:sz w:val="40"/>
          <w:szCs w:val="40"/>
        </w:rPr>
      </w:pPr>
      <w:bookmarkStart w:id="5" w:name="_Toc322352981"/>
      <w:bookmarkStart w:id="6" w:name="_Toc354401488"/>
      <w:bookmarkStart w:id="7" w:name="_Toc350256312"/>
      <w:r>
        <w:rPr>
          <w:rFonts w:hint="eastAsia" w:ascii="宋体" w:hAnsi="宋体" w:eastAsia="宋体" w:cs="宋体"/>
          <w:color w:val="000000"/>
          <w:sz w:val="40"/>
          <w:szCs w:val="40"/>
        </w:rPr>
        <w:t>目 录</w:t>
      </w:r>
    </w:p>
    <w:bookmarkEnd w:id="5"/>
    <w:bookmarkEnd w:id="6"/>
    <w:bookmarkEnd w:id="7"/>
    <w:sdt>
      <w:sdtPr>
        <w:rPr>
          <w:rFonts w:ascii="宋体" w:hAnsi="宋体" w:eastAsia="宋体"/>
          <w:sz w:val="21"/>
        </w:rPr>
        <w:id w:val="147476217"/>
        <w15:color w:val="DBDBDB"/>
        <w:docPartObj>
          <w:docPartGallery w:val="Table of Contents"/>
          <w:docPartUnique/>
        </w:docPartObj>
      </w:sdtPr>
      <w:sdtEndPr>
        <w:rPr>
          <w:rFonts w:hint="eastAsia" w:ascii="宋体" w:hAnsi="宋体" w:eastAsia="宋体" w:cs="宋体"/>
          <w:sz w:val="24"/>
          <w:szCs w:val="44"/>
        </w:rPr>
      </w:sdtEndPr>
      <w:sdtContent>
        <w:p>
          <w:pPr>
            <w:spacing w:line="240" w:lineRule="auto"/>
            <w:ind w:firstLine="0" w:firstLineChars="0"/>
            <w:jc w:val="center"/>
          </w:pPr>
          <w:bookmarkStart w:id="8" w:name="_Toc25659"/>
          <w:bookmarkStart w:id="9" w:name="_Toc11547"/>
          <w:bookmarkStart w:id="10" w:name="_Toc31169"/>
          <w:bookmarkStart w:id="11" w:name="_Toc30683"/>
          <w:bookmarkStart w:id="12" w:name="_Toc3487"/>
          <w:bookmarkStart w:id="13" w:name="_Toc25144"/>
          <w:bookmarkStart w:id="14" w:name="_Toc9262"/>
        </w:p>
        <w:p>
          <w:pPr>
            <w:pStyle w:val="82"/>
            <w:tabs>
              <w:tab w:val="right" w:leader="dot" w:pos="9514"/>
            </w:tabs>
            <w:spacing w:line="480" w:lineRule="auto"/>
            <w:rPr>
              <w:rFonts w:asciiTheme="minorEastAsia" w:hAnsiTheme="minorEastAsia" w:eastAsiaTheme="minorEastAsia" w:cstheme="minorEastAsia"/>
              <w:sz w:val="24"/>
              <w:szCs w:val="24"/>
            </w:rPr>
          </w:pPr>
          <w:r>
            <w:rPr>
              <w:rStyle w:val="69"/>
              <w:rFonts w:hint="eastAsia" w:asciiTheme="minorEastAsia" w:hAnsiTheme="minorEastAsia" w:eastAsiaTheme="minorEastAsia"/>
              <w:sz w:val="24"/>
            </w:rPr>
            <w:fldChar w:fldCharType="begin"/>
          </w:r>
          <w:r>
            <w:rPr>
              <w:rStyle w:val="69"/>
              <w:rFonts w:hint="eastAsia" w:asciiTheme="minorEastAsia" w:hAnsiTheme="minorEastAsia" w:eastAsiaTheme="minorEastAsia" w:cstheme="minorEastAsia"/>
              <w:sz w:val="24"/>
            </w:rPr>
            <w:instrText xml:space="preserve">TOC \o "1-1" \h \u </w:instrText>
          </w:r>
          <w:r>
            <w:rPr>
              <w:rStyle w:val="69"/>
              <w:rFonts w:hint="eastAsia" w:asciiTheme="minorEastAsia" w:hAnsiTheme="minorEastAsia" w:eastAsiaTheme="minorEastAsia"/>
              <w:sz w:val="24"/>
            </w:rPr>
            <w:fldChar w:fldCharType="separate"/>
          </w:r>
          <w:r>
            <w:fldChar w:fldCharType="begin"/>
          </w:r>
          <w:r>
            <w:instrText xml:space="preserve"> HYPERLINK \l "_Toc13666" </w:instrText>
          </w:r>
          <w:r>
            <w:fldChar w:fldCharType="separate"/>
          </w:r>
          <w:r>
            <w:rPr>
              <w:rFonts w:hint="eastAsia" w:asciiTheme="minorEastAsia" w:hAnsiTheme="minorEastAsia" w:eastAsiaTheme="minorEastAsia" w:cstheme="minorEastAsia"/>
              <w:w w:val="90"/>
              <w:sz w:val="24"/>
              <w:szCs w:val="24"/>
            </w:rPr>
            <w:t>招标采购文件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_Toc13666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82"/>
            <w:tabs>
              <w:tab w:val="right" w:leader="dot" w:pos="9514"/>
            </w:tabs>
            <w:spacing w:line="480" w:lineRule="auto"/>
            <w:rPr>
              <w:rFonts w:asciiTheme="minorEastAsia" w:hAnsiTheme="minorEastAsia" w:eastAsiaTheme="minorEastAsia" w:cstheme="minorEastAsia"/>
              <w:sz w:val="24"/>
              <w:szCs w:val="24"/>
            </w:rPr>
          </w:pPr>
          <w:r>
            <w:fldChar w:fldCharType="begin"/>
          </w:r>
          <w:r>
            <w:instrText xml:space="preserve"> HYPERLINK \l "_Toc2664" </w:instrText>
          </w:r>
          <w:r>
            <w:fldChar w:fldCharType="separate"/>
          </w:r>
          <w:r>
            <w:rPr>
              <w:rFonts w:hint="eastAsia" w:asciiTheme="minorEastAsia" w:hAnsiTheme="minorEastAsia" w:eastAsiaTheme="minorEastAsia" w:cstheme="minorEastAsia"/>
              <w:sz w:val="24"/>
              <w:szCs w:val="24"/>
            </w:rPr>
            <w:t>第一章  招标公告</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_Toc2664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82"/>
            <w:tabs>
              <w:tab w:val="right" w:leader="dot" w:pos="9514"/>
            </w:tabs>
            <w:spacing w:line="480" w:lineRule="auto"/>
            <w:rPr>
              <w:rFonts w:asciiTheme="minorEastAsia" w:hAnsiTheme="minorEastAsia" w:eastAsiaTheme="minorEastAsia" w:cstheme="minorEastAsia"/>
              <w:sz w:val="24"/>
              <w:szCs w:val="24"/>
            </w:rPr>
          </w:pPr>
          <w:r>
            <w:fldChar w:fldCharType="begin"/>
          </w:r>
          <w:r>
            <w:instrText xml:space="preserve"> HYPERLINK \l "_Toc14962" </w:instrText>
          </w:r>
          <w:r>
            <w:fldChar w:fldCharType="separate"/>
          </w:r>
          <w:r>
            <w:rPr>
              <w:rFonts w:hint="eastAsia" w:asciiTheme="minorEastAsia" w:hAnsiTheme="minorEastAsia" w:eastAsiaTheme="minorEastAsia" w:cstheme="minorEastAsia"/>
              <w:bCs/>
              <w:sz w:val="24"/>
              <w:szCs w:val="24"/>
            </w:rPr>
            <w:t>第二章  投标人须知前附表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_Toc14962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82"/>
            <w:tabs>
              <w:tab w:val="right" w:leader="dot" w:pos="9514"/>
            </w:tabs>
            <w:spacing w:line="480" w:lineRule="auto"/>
            <w:rPr>
              <w:rFonts w:asciiTheme="minorEastAsia" w:hAnsiTheme="minorEastAsia" w:eastAsiaTheme="minorEastAsia" w:cstheme="minorEastAsia"/>
              <w:sz w:val="24"/>
              <w:szCs w:val="24"/>
            </w:rPr>
          </w:pPr>
          <w:r>
            <w:fldChar w:fldCharType="begin"/>
          </w:r>
          <w:r>
            <w:instrText xml:space="preserve"> HYPERLINK \l "_Toc24049" </w:instrText>
          </w:r>
          <w:r>
            <w:fldChar w:fldCharType="separate"/>
          </w:r>
          <w:r>
            <w:rPr>
              <w:rFonts w:hint="eastAsia" w:asciiTheme="minorEastAsia" w:hAnsiTheme="minorEastAsia" w:eastAsiaTheme="minorEastAsia" w:cstheme="minorEastAsia"/>
              <w:sz w:val="24"/>
              <w:szCs w:val="24"/>
            </w:rPr>
            <w:t>第三章 采购内容及要求</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_Toc24049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82"/>
            <w:tabs>
              <w:tab w:val="right" w:leader="dot" w:pos="9514"/>
            </w:tabs>
            <w:spacing w:line="480" w:lineRule="auto"/>
            <w:rPr>
              <w:rFonts w:hint="eastAsia" w:asciiTheme="minorEastAsia" w:hAnsiTheme="minorEastAsia" w:eastAsiaTheme="minorEastAsia" w:cstheme="minorEastAsia"/>
              <w:sz w:val="24"/>
              <w:szCs w:val="24"/>
              <w:lang w:val="en-US" w:eastAsia="zh-CN"/>
            </w:rPr>
          </w:pPr>
          <w:r>
            <w:fldChar w:fldCharType="begin"/>
          </w:r>
          <w:r>
            <w:instrText xml:space="preserve"> HYPERLINK \l "_Toc21965" </w:instrText>
          </w:r>
          <w:r>
            <w:fldChar w:fldCharType="separate"/>
          </w:r>
          <w:r>
            <w:rPr>
              <w:rFonts w:hint="eastAsia" w:asciiTheme="minorEastAsia" w:hAnsiTheme="minorEastAsia" w:eastAsiaTheme="minorEastAsia" w:cstheme="minorEastAsia"/>
              <w:bCs/>
              <w:kern w:val="44"/>
              <w:sz w:val="24"/>
              <w:szCs w:val="24"/>
            </w:rPr>
            <w:t>第四章 合同主要条款</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6</w:t>
          </w:r>
        </w:p>
        <w:p>
          <w:pPr>
            <w:pStyle w:val="82"/>
            <w:tabs>
              <w:tab w:val="right" w:leader="dot" w:pos="9514"/>
            </w:tabs>
            <w:spacing w:line="480" w:lineRule="auto"/>
            <w:rPr>
              <w:rFonts w:asciiTheme="minorEastAsia" w:hAnsiTheme="minorEastAsia" w:eastAsiaTheme="minorEastAsia" w:cstheme="minorEastAsia"/>
              <w:sz w:val="24"/>
              <w:szCs w:val="24"/>
            </w:rPr>
          </w:pPr>
          <w:r>
            <w:fldChar w:fldCharType="begin"/>
          </w:r>
          <w:r>
            <w:instrText xml:space="preserve"> HYPERLINK \l "_Toc26447" </w:instrText>
          </w:r>
          <w:r>
            <w:fldChar w:fldCharType="separate"/>
          </w:r>
          <w:r>
            <w:rPr>
              <w:rFonts w:hint="eastAsia" w:asciiTheme="minorEastAsia" w:hAnsiTheme="minorEastAsia" w:eastAsiaTheme="minorEastAsia" w:cstheme="minorEastAsia"/>
              <w:sz w:val="24"/>
              <w:szCs w:val="24"/>
              <w:lang w:val="zh-CN"/>
            </w:rPr>
            <w:t>第五章  评审方法及评审标准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_Toc26447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82"/>
            <w:tabs>
              <w:tab w:val="right" w:leader="dot" w:pos="9514"/>
            </w:tabs>
            <w:spacing w:line="480" w:lineRule="auto"/>
            <w:rPr>
              <w:rFonts w:asciiTheme="minorEastAsia" w:hAnsiTheme="minorEastAsia" w:eastAsiaTheme="minorEastAsia" w:cstheme="minorEastAsia"/>
              <w:sz w:val="24"/>
              <w:szCs w:val="24"/>
            </w:rPr>
          </w:pPr>
          <w:r>
            <w:fldChar w:fldCharType="begin"/>
          </w:r>
          <w:r>
            <w:instrText xml:space="preserve"> HYPERLINK \l "_Toc12495" </w:instrText>
          </w:r>
          <w:r>
            <w:fldChar w:fldCharType="separate"/>
          </w:r>
          <w:r>
            <w:rPr>
              <w:rFonts w:hint="eastAsia" w:asciiTheme="minorEastAsia" w:hAnsiTheme="minorEastAsia" w:eastAsiaTheme="minorEastAsia" w:cstheme="minorEastAsia"/>
              <w:sz w:val="24"/>
              <w:szCs w:val="24"/>
              <w:lang w:val="zh-CN"/>
            </w:rPr>
            <w:t>第六章</w:t>
          </w:r>
          <w:r>
            <w:rPr>
              <w:rFonts w:hint="eastAsia" w:asciiTheme="minorEastAsia" w:hAnsiTheme="minorEastAsia" w:eastAsiaTheme="minorEastAsia" w:cstheme="minorEastAsia"/>
              <w:sz w:val="24"/>
              <w:szCs w:val="24"/>
            </w:rPr>
            <w:t xml:space="preserve">  应提交的有关格式范例</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_Toc12495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82"/>
            <w:tabs>
              <w:tab w:val="right" w:leader="dot" w:pos="9514"/>
            </w:tabs>
            <w:spacing w:line="480" w:lineRule="auto"/>
            <w:rPr>
              <w:rFonts w:asciiTheme="minorEastAsia" w:hAnsiTheme="minorEastAsia" w:eastAsiaTheme="minorEastAsia" w:cstheme="minorEastAsia"/>
              <w:sz w:val="24"/>
              <w:szCs w:val="24"/>
            </w:rPr>
          </w:pPr>
          <w:r>
            <w:fldChar w:fldCharType="begin"/>
          </w:r>
          <w:r>
            <w:instrText xml:space="preserve"> HYPERLINK \l "_Toc25138" </w:instrText>
          </w:r>
          <w:r>
            <w:fldChar w:fldCharType="separate"/>
          </w:r>
          <w:r>
            <w:rPr>
              <w:rFonts w:hint="eastAsia" w:asciiTheme="minorEastAsia" w:hAnsiTheme="minorEastAsia" w:eastAsiaTheme="minorEastAsia" w:cstheme="minorEastAsia"/>
              <w:sz w:val="24"/>
              <w:szCs w:val="24"/>
            </w:rPr>
            <w:t>一、法定代表人资格证明书及授权委托书格式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_Toc25138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82"/>
            <w:tabs>
              <w:tab w:val="right" w:leader="dot" w:pos="9514"/>
            </w:tabs>
            <w:spacing w:line="480" w:lineRule="auto"/>
            <w:rPr>
              <w:rFonts w:asciiTheme="minorEastAsia" w:hAnsiTheme="minorEastAsia" w:eastAsiaTheme="minorEastAsia" w:cstheme="minorEastAsia"/>
              <w:sz w:val="24"/>
              <w:szCs w:val="24"/>
            </w:rPr>
          </w:pPr>
          <w:r>
            <w:fldChar w:fldCharType="begin"/>
          </w:r>
          <w:r>
            <w:instrText xml:space="preserve"> HYPERLINK \l "_Toc4650" </w:instrText>
          </w:r>
          <w:r>
            <w:fldChar w:fldCharType="separate"/>
          </w:r>
          <w:r>
            <w:rPr>
              <w:rFonts w:hint="eastAsia" w:asciiTheme="minorEastAsia" w:hAnsiTheme="minorEastAsia" w:eastAsiaTheme="minorEastAsia" w:cstheme="minorEastAsia"/>
              <w:sz w:val="24"/>
              <w:szCs w:val="24"/>
            </w:rPr>
            <w:t>三、投标人简介</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_Toc4650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82"/>
            <w:tabs>
              <w:tab w:val="right" w:leader="dot" w:pos="9514"/>
            </w:tabs>
            <w:spacing w:line="480" w:lineRule="auto"/>
            <w:rPr>
              <w:rFonts w:asciiTheme="minorEastAsia" w:hAnsiTheme="minorEastAsia" w:eastAsiaTheme="minorEastAsia" w:cstheme="minorEastAsia"/>
              <w:sz w:val="24"/>
              <w:szCs w:val="24"/>
            </w:rPr>
          </w:pPr>
          <w:r>
            <w:fldChar w:fldCharType="begin"/>
          </w:r>
          <w:r>
            <w:instrText xml:space="preserve"> HYPERLINK \l "_Toc11190" </w:instrText>
          </w:r>
          <w:r>
            <w:fldChar w:fldCharType="separate"/>
          </w:r>
          <w:r>
            <w:rPr>
              <w:rFonts w:hint="eastAsia" w:asciiTheme="minorEastAsia" w:hAnsiTheme="minorEastAsia" w:eastAsiaTheme="minorEastAsia" w:cstheme="minorEastAsia"/>
              <w:sz w:val="24"/>
              <w:szCs w:val="24"/>
            </w:rPr>
            <w:t>四、类似项目业绩</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_Toc11190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82"/>
            <w:tabs>
              <w:tab w:val="right" w:leader="dot" w:pos="9514"/>
            </w:tabs>
            <w:spacing w:line="480" w:lineRule="auto"/>
            <w:rPr>
              <w:rFonts w:asciiTheme="minorEastAsia" w:hAnsiTheme="minorEastAsia" w:eastAsiaTheme="minorEastAsia" w:cstheme="minorEastAsia"/>
              <w:sz w:val="24"/>
              <w:szCs w:val="24"/>
            </w:rPr>
          </w:pPr>
          <w:r>
            <w:fldChar w:fldCharType="begin"/>
          </w:r>
          <w:r>
            <w:instrText xml:space="preserve"> HYPERLINK \l "_Toc30224" </w:instrText>
          </w:r>
          <w:r>
            <w:fldChar w:fldCharType="separate"/>
          </w:r>
          <w:r>
            <w:rPr>
              <w:rFonts w:hint="eastAsia" w:asciiTheme="minorEastAsia" w:hAnsiTheme="minorEastAsia" w:eastAsiaTheme="minorEastAsia" w:cstheme="minorEastAsia"/>
              <w:sz w:val="24"/>
              <w:szCs w:val="24"/>
            </w:rPr>
            <w:t>五、投标响应表（偏离表）格式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_Toc30224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82"/>
            <w:tabs>
              <w:tab w:val="right" w:leader="dot" w:pos="9514"/>
            </w:tabs>
            <w:spacing w:line="480" w:lineRule="auto"/>
            <w:rPr>
              <w:rFonts w:asciiTheme="minorEastAsia" w:hAnsiTheme="minorEastAsia" w:eastAsiaTheme="minorEastAsia" w:cstheme="minorEastAsia"/>
              <w:sz w:val="24"/>
              <w:szCs w:val="24"/>
            </w:rPr>
          </w:pPr>
          <w:r>
            <w:fldChar w:fldCharType="begin"/>
          </w:r>
          <w:r>
            <w:instrText xml:space="preserve"> HYPERLINK \l "_Toc6044" </w:instrText>
          </w:r>
          <w:r>
            <w:fldChar w:fldCharType="separate"/>
          </w:r>
          <w:r>
            <w:rPr>
              <w:rFonts w:hint="eastAsia" w:asciiTheme="minorEastAsia" w:hAnsiTheme="minorEastAsia" w:eastAsiaTheme="minorEastAsia" w:cstheme="minorEastAsia"/>
              <w:sz w:val="24"/>
              <w:szCs w:val="24"/>
            </w:rPr>
            <w:t>七、技术部分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_Toc6044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pPr>
            <w:pStyle w:val="82"/>
            <w:tabs>
              <w:tab w:val="right" w:leader="dot" w:pos="9514"/>
            </w:tabs>
            <w:spacing w:line="480" w:lineRule="auto"/>
            <w:rPr>
              <w:rFonts w:asciiTheme="minorEastAsia" w:hAnsiTheme="minorEastAsia" w:eastAsiaTheme="minorEastAsia" w:cstheme="minorEastAsia"/>
              <w:sz w:val="24"/>
              <w:szCs w:val="24"/>
            </w:rPr>
          </w:pPr>
        </w:p>
        <w:p>
          <w:pPr>
            <w:snapToGrid w:val="0"/>
            <w:spacing w:before="335" w:beforeLines="100" w:after="335" w:afterLines="100" w:line="480" w:lineRule="auto"/>
            <w:ind w:firstLine="0" w:firstLineChars="0"/>
            <w:jc w:val="center"/>
            <w:rPr>
              <w:rStyle w:val="69"/>
              <w:rFonts w:ascii="宋体" w:hAnsi="宋体" w:eastAsia="宋体" w:cs="宋体"/>
              <w:szCs w:val="44"/>
            </w:rPr>
          </w:pPr>
          <w:r>
            <w:rPr>
              <w:rFonts w:hint="eastAsia" w:asciiTheme="minorEastAsia" w:hAnsiTheme="minorEastAsia" w:eastAsiaTheme="minorEastAsia" w:cstheme="minorEastAsia"/>
            </w:rPr>
            <w:fldChar w:fldCharType="end"/>
          </w:r>
        </w:p>
      </w:sdtContent>
    </w:sdt>
    <w:p>
      <w:pPr>
        <w:snapToGrid w:val="0"/>
        <w:spacing w:before="335" w:beforeLines="100" w:after="335" w:afterLines="100" w:line="400" w:lineRule="exact"/>
        <w:ind w:firstLine="0" w:firstLineChars="0"/>
        <w:jc w:val="center"/>
        <w:rPr>
          <w:rStyle w:val="69"/>
          <w:rFonts w:ascii="宋体" w:hAnsi="宋体" w:eastAsia="宋体" w:cs="宋体"/>
          <w:szCs w:val="44"/>
        </w:rPr>
      </w:pPr>
    </w:p>
    <w:p>
      <w:pPr>
        <w:snapToGrid w:val="0"/>
        <w:spacing w:before="335" w:beforeLines="100" w:after="335" w:afterLines="100" w:line="400" w:lineRule="exact"/>
        <w:ind w:firstLine="0" w:firstLineChars="0"/>
        <w:jc w:val="center"/>
        <w:rPr>
          <w:rStyle w:val="69"/>
          <w:rFonts w:ascii="宋体" w:hAnsi="宋体" w:eastAsia="宋体" w:cs="宋体"/>
          <w:szCs w:val="44"/>
        </w:rPr>
      </w:pPr>
    </w:p>
    <w:p>
      <w:pPr>
        <w:snapToGrid w:val="0"/>
        <w:spacing w:before="335" w:beforeLines="100" w:after="335" w:afterLines="100" w:line="400" w:lineRule="exact"/>
        <w:ind w:firstLine="0" w:firstLineChars="0"/>
        <w:jc w:val="center"/>
        <w:rPr>
          <w:rStyle w:val="69"/>
          <w:rFonts w:ascii="宋体" w:hAnsi="宋体" w:eastAsia="宋体" w:cs="宋体"/>
          <w:szCs w:val="44"/>
        </w:rPr>
      </w:pPr>
    </w:p>
    <w:p>
      <w:pPr>
        <w:pStyle w:val="2"/>
        <w:ind w:left="480" w:firstLine="883"/>
        <w:rPr>
          <w:rStyle w:val="69"/>
          <w:rFonts w:ascii="宋体" w:hAnsi="宋体" w:eastAsia="宋体" w:cs="宋体"/>
          <w:szCs w:val="44"/>
        </w:rPr>
      </w:pPr>
    </w:p>
    <w:p>
      <w:pPr>
        <w:snapToGrid w:val="0"/>
        <w:spacing w:before="405" w:beforeLines="121" w:after="335" w:afterLines="100" w:line="240" w:lineRule="auto"/>
        <w:ind w:firstLine="0" w:firstLineChars="0"/>
        <w:jc w:val="center"/>
        <w:outlineLvl w:val="0"/>
        <w:rPr>
          <w:rFonts w:ascii="宋体" w:hAnsi="宋体" w:eastAsia="宋体" w:cs="宋体"/>
          <w:b/>
          <w:bCs/>
          <w:color w:val="000000"/>
          <w:sz w:val="32"/>
          <w:szCs w:val="32"/>
        </w:rPr>
      </w:pPr>
      <w:bookmarkStart w:id="15" w:name="_Toc2664"/>
      <w:r>
        <w:rPr>
          <w:rStyle w:val="69"/>
          <w:rFonts w:hint="eastAsia" w:ascii="宋体" w:hAnsi="宋体" w:eastAsia="宋体" w:cs="宋体"/>
          <w:szCs w:val="44"/>
        </w:rPr>
        <w:t>第一章  招标公告</w:t>
      </w:r>
      <w:bookmarkEnd w:id="8"/>
      <w:bookmarkEnd w:id="9"/>
      <w:bookmarkEnd w:id="10"/>
      <w:bookmarkEnd w:id="11"/>
      <w:bookmarkEnd w:id="12"/>
      <w:bookmarkEnd w:id="13"/>
      <w:bookmarkEnd w:id="14"/>
      <w:bookmarkEnd w:id="15"/>
    </w:p>
    <w:p>
      <w:pPr>
        <w:pageBreakBefore w:val="0"/>
        <w:kinsoku/>
        <w:wordWrap/>
        <w:overflowPunct/>
        <w:topLinePunct w:val="0"/>
        <w:autoSpaceDE/>
        <w:autoSpaceDN/>
        <w:bidi w:val="0"/>
        <w:adjustRightInd/>
        <w:spacing w:line="312" w:lineRule="auto"/>
        <w:ind w:firstLine="480"/>
        <w:textAlignment w:val="auto"/>
        <w:rPr>
          <w:sz w:val="21"/>
          <w:szCs w:val="21"/>
        </w:rPr>
      </w:pPr>
      <w:bookmarkStart w:id="16" w:name="_Toc354491896"/>
      <w:bookmarkStart w:id="17" w:name="_Toc322352982"/>
      <w:bookmarkStart w:id="18" w:name="_Toc359856796"/>
      <w:bookmarkStart w:id="19" w:name="_Toc356371430"/>
      <w:r>
        <w:rPr>
          <w:rFonts w:hint="eastAsia" w:ascii="宋体" w:hAnsi="宋体" w:eastAsia="宋体" w:cs="宋体"/>
          <w:sz w:val="21"/>
          <w:szCs w:val="21"/>
        </w:rPr>
        <w:t>根据《龙游县国有企业采购管理办法》（龙政办发[2021]58号）等有关规</w:t>
      </w:r>
      <w:r>
        <w:rPr>
          <w:rFonts w:hint="eastAsia" w:ascii="宋体" w:hAnsi="宋体" w:eastAsia="宋体" w:cs="宋体"/>
          <w:color w:val="000000" w:themeColor="text1"/>
          <w:sz w:val="21"/>
          <w:szCs w:val="21"/>
          <w14:textFill>
            <w14:solidFill>
              <w14:schemeClr w14:val="tx1"/>
            </w14:solidFill>
          </w14:textFill>
        </w:rPr>
        <w:t>定，泰宇</w:t>
      </w:r>
      <w:r>
        <w:rPr>
          <w:rFonts w:hint="eastAsia" w:ascii="宋体" w:hAnsi="宋体" w:eastAsia="宋体" w:cs="宋体"/>
          <w:sz w:val="21"/>
          <w:szCs w:val="21"/>
        </w:rPr>
        <w:t>建筑工程技术咨询有限公司受</w:t>
      </w:r>
      <w:r>
        <w:rPr>
          <w:rFonts w:hint="eastAsia" w:ascii="宋体" w:hAnsi="宋体" w:eastAsia="宋体" w:cs="宋体"/>
          <w:sz w:val="21"/>
          <w:szCs w:val="21"/>
          <w:lang w:eastAsia="zh-CN"/>
        </w:rPr>
        <w:t>龙游华水农村供水发展有限公司</w:t>
      </w:r>
      <w:r>
        <w:rPr>
          <w:rFonts w:hint="eastAsia" w:ascii="宋体" w:hAnsi="宋体" w:eastAsia="宋体" w:cs="宋体"/>
          <w:sz w:val="21"/>
          <w:szCs w:val="21"/>
        </w:rPr>
        <w:t>委托，现就</w:t>
      </w:r>
      <w:r>
        <w:rPr>
          <w:rFonts w:hint="eastAsia" w:ascii="宋体" w:hAnsi="宋体" w:eastAsia="宋体" w:cs="宋体"/>
          <w:sz w:val="21"/>
          <w:szCs w:val="21"/>
          <w:lang w:eastAsia="zh-CN"/>
        </w:rPr>
        <w:t>2025年农村供水哈夫节采购项目</w:t>
      </w:r>
      <w:r>
        <w:rPr>
          <w:rFonts w:hint="eastAsia" w:ascii="宋体" w:hAnsi="宋体" w:eastAsia="宋体" w:cs="宋体"/>
          <w:sz w:val="21"/>
          <w:szCs w:val="21"/>
        </w:rPr>
        <w:t>进行招标采购，欢迎有意向的供应商参加本次采购活动。</w:t>
      </w:r>
    </w:p>
    <w:p>
      <w:pPr>
        <w:keepNext/>
        <w:keepLines/>
        <w:pageBreakBefore w:val="0"/>
        <w:kinsoku/>
        <w:wordWrap/>
        <w:overflowPunct/>
        <w:topLinePunct w:val="0"/>
        <w:autoSpaceDE/>
        <w:autoSpaceDN/>
        <w:bidi w:val="0"/>
        <w:adjustRightInd/>
        <w:snapToGrid w:val="0"/>
        <w:spacing w:line="312" w:lineRule="auto"/>
        <w:ind w:firstLine="482"/>
        <w:textAlignment w:val="auto"/>
        <w:outlineLvl w:val="1"/>
        <w:rPr>
          <w:rFonts w:eastAsia="宋体"/>
          <w:b/>
          <w:bCs/>
          <w:sz w:val="21"/>
          <w:szCs w:val="21"/>
        </w:rPr>
      </w:pPr>
      <w:r>
        <w:rPr>
          <w:rFonts w:hint="eastAsia" w:eastAsia="宋体"/>
          <w:b/>
          <w:bCs/>
          <w:sz w:val="21"/>
          <w:szCs w:val="21"/>
        </w:rPr>
        <w:t>一、项目基本情况</w:t>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rPr>
        <w:t xml:space="preserve">1.项目编号： </w:t>
      </w:r>
      <w:r>
        <w:rPr>
          <w:rFonts w:hint="eastAsia" w:ascii="宋体" w:hAnsi="宋体" w:eastAsia="宋体" w:cs="宋体"/>
          <w:sz w:val="21"/>
          <w:szCs w:val="21"/>
          <w:lang w:eastAsia="zh-CN"/>
        </w:rPr>
        <w:t xml:space="preserve">LYCG2025TY-018 </w:t>
      </w:r>
      <w:r>
        <w:rPr>
          <w:rFonts w:hint="eastAsia" w:ascii="宋体" w:hAnsi="宋体" w:eastAsia="宋体" w:cs="宋体"/>
          <w:sz w:val="21"/>
          <w:szCs w:val="21"/>
        </w:rPr>
        <w:t xml:space="preserve">  </w:t>
      </w:r>
    </w:p>
    <w:p>
      <w:pPr>
        <w:pageBreakBefore w:val="0"/>
        <w:kinsoku/>
        <w:wordWrap/>
        <w:overflowPunct/>
        <w:topLinePunct w:val="0"/>
        <w:autoSpaceDE/>
        <w:autoSpaceDN/>
        <w:bidi w:val="0"/>
        <w:adjustRightInd/>
        <w:spacing w:line="312" w:lineRule="auto"/>
        <w:ind w:firstLine="480"/>
        <w:textAlignment w:val="auto"/>
        <w:rPr>
          <w:rFonts w:hint="eastAsia" w:ascii="宋体" w:hAnsi="宋体" w:eastAsia="宋体" w:cs="宋体"/>
          <w:sz w:val="21"/>
          <w:szCs w:val="21"/>
          <w:lang w:eastAsia="zh-CN"/>
        </w:rPr>
      </w:pPr>
      <w:r>
        <w:rPr>
          <w:rFonts w:hint="eastAsia" w:ascii="宋体" w:hAnsi="宋体" w:eastAsia="宋体" w:cs="宋体"/>
          <w:sz w:val="21"/>
          <w:szCs w:val="21"/>
        </w:rPr>
        <w:t>2.项目名称：</w:t>
      </w:r>
      <w:r>
        <w:rPr>
          <w:rFonts w:hint="eastAsia" w:ascii="宋体" w:hAnsi="宋体" w:eastAsia="宋体" w:cs="宋体"/>
          <w:sz w:val="21"/>
          <w:szCs w:val="21"/>
          <w:lang w:eastAsia="zh-CN"/>
        </w:rPr>
        <w:t>2025年农村供水哈夫节采购项目</w:t>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rPr>
        <w:t>3.采购方式：公开招标</w:t>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rPr>
        <w:t>4.预算金额：</w:t>
      </w:r>
      <w:r>
        <w:rPr>
          <w:rFonts w:hint="eastAsia" w:ascii="宋体" w:hAnsi="宋体" w:eastAsia="宋体" w:cs="宋体"/>
          <w:sz w:val="21"/>
          <w:szCs w:val="21"/>
          <w:lang w:val="en-US" w:eastAsia="zh-CN"/>
        </w:rPr>
        <w:t>29万元</w:t>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rPr>
        <w:t xml:space="preserve">5.简要规格描述：详见招标文件第三章：采购内容及要求 </w:t>
      </w:r>
    </w:p>
    <w:p>
      <w:pPr>
        <w:pageBreakBefore w:val="0"/>
        <w:kinsoku/>
        <w:wordWrap/>
        <w:overflowPunct/>
        <w:topLinePunct w:val="0"/>
        <w:autoSpaceDE/>
        <w:autoSpaceDN/>
        <w:bidi w:val="0"/>
        <w:adjustRightInd/>
        <w:spacing w:line="312" w:lineRule="auto"/>
        <w:ind w:firstLine="48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6.</w:t>
      </w:r>
      <w:r>
        <w:rPr>
          <w:rFonts w:hint="eastAsia" w:ascii="宋体" w:hAnsi="宋体" w:eastAsia="宋体" w:cs="宋体"/>
          <w:sz w:val="21"/>
          <w:szCs w:val="21"/>
          <w:lang w:val="en-US" w:eastAsia="zh-CN"/>
        </w:rPr>
        <w:t>供货期</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sz w:val="21"/>
          <w:szCs w:val="21"/>
          <w:lang w:val="en-US" w:eastAsia="zh-CN"/>
        </w:rPr>
        <w:t>1年或本次预算金额用完</w:t>
      </w:r>
    </w:p>
    <w:p>
      <w:pPr>
        <w:pageBreakBefore w:val="0"/>
        <w:widowControl/>
        <w:kinsoku/>
        <w:wordWrap/>
        <w:overflowPunct/>
        <w:topLinePunct w:val="0"/>
        <w:autoSpaceDE/>
        <w:autoSpaceDN/>
        <w:bidi w:val="0"/>
        <w:adjustRightInd/>
        <w:snapToGrid w:val="0"/>
        <w:spacing w:line="312" w:lineRule="auto"/>
        <w:ind w:firstLine="482"/>
        <w:textAlignment w:val="auto"/>
        <w:rPr>
          <w:rFonts w:ascii="宋体" w:hAnsi="宋体" w:eastAsia="宋体" w:cs="宋体"/>
          <w:sz w:val="21"/>
          <w:szCs w:val="21"/>
        </w:rPr>
      </w:pPr>
      <w:bookmarkStart w:id="20" w:name="_Toc35393791"/>
      <w:bookmarkStart w:id="21" w:name="_Toc28359080"/>
      <w:bookmarkStart w:id="22" w:name="_Toc35393622"/>
      <w:bookmarkStart w:id="23" w:name="_Toc28359003"/>
      <w:r>
        <w:rPr>
          <w:rFonts w:hint="eastAsia" w:eastAsia="宋体"/>
          <w:b/>
          <w:bCs/>
          <w:kern w:val="0"/>
          <w:sz w:val="21"/>
          <w:szCs w:val="21"/>
        </w:rPr>
        <w:t>二、申请人的资格要求：</w:t>
      </w:r>
      <w:bookmarkEnd w:id="20"/>
      <w:bookmarkEnd w:id="21"/>
      <w:bookmarkEnd w:id="22"/>
      <w:bookmarkEnd w:id="23"/>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rPr>
        <w:t>1.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宋体" w:hAnsi="宋体" w:eastAsia="宋体" w:cs="宋体"/>
          <w:sz w:val="21"/>
          <w:szCs w:val="21"/>
          <w:lang w:val="en-US" w:eastAsia="zh-CN"/>
        </w:rPr>
        <w:t>，</w:t>
      </w:r>
      <w:r>
        <w:rPr>
          <w:rFonts w:hint="eastAsia" w:ascii="宋体" w:hAnsi="宋体" w:eastAsia="宋体" w:cs="宋体"/>
          <w:color w:val="auto"/>
          <w:sz w:val="21"/>
          <w:szCs w:val="21"/>
          <w:lang w:val="en-US" w:eastAsia="zh-CN"/>
        </w:rPr>
        <w:t>在中华人民共和国境内依法注册的并具有独立有效法人资格的供应商</w:t>
      </w:r>
      <w:r>
        <w:rPr>
          <w:rFonts w:hint="eastAsia" w:ascii="宋体" w:hAnsi="宋体" w:eastAsia="宋体" w:cs="宋体"/>
          <w:sz w:val="21"/>
          <w:szCs w:val="21"/>
        </w:rPr>
        <w:t>。</w:t>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rPr>
        <w:t>2.落实政府采购政策需满足的资格要求：无</w:t>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rPr>
        <w:t>3.本项目的特定资格要求</w:t>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rPr>
        <w:t>（1）单位负责人为同一人或者存在直接控股、管理关系的不同投标人，不得参加同一合同项下的政府采购活动。</w:t>
      </w:r>
    </w:p>
    <w:p>
      <w:pPr>
        <w:pageBreakBefore w:val="0"/>
        <w:kinsoku/>
        <w:wordWrap/>
        <w:overflowPunct/>
        <w:topLinePunct w:val="0"/>
        <w:autoSpaceDE/>
        <w:autoSpaceDN/>
        <w:bidi w:val="0"/>
        <w:adjustRightInd/>
        <w:spacing w:line="312"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（2）公益一类事业单位、使用事业编制且由财政拨款保障的群团组织不属于政府购买服务的承接主体，不得参与承接购买服务。</w:t>
      </w:r>
    </w:p>
    <w:p>
      <w:pPr>
        <w:pageBreakBefore w:val="0"/>
        <w:kinsoku/>
        <w:wordWrap/>
        <w:overflowPunct/>
        <w:topLinePunct w:val="0"/>
        <w:autoSpaceDE/>
        <w:autoSpaceDN/>
        <w:bidi w:val="0"/>
        <w:adjustRightInd/>
        <w:spacing w:line="312" w:lineRule="auto"/>
        <w:ind w:firstLine="48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）本项目不允许联合体投标。</w:t>
      </w:r>
    </w:p>
    <w:p>
      <w:pPr>
        <w:pageBreakBefore w:val="0"/>
        <w:kinsoku/>
        <w:wordWrap/>
        <w:overflowPunct/>
        <w:topLinePunct w:val="0"/>
        <w:autoSpaceDE/>
        <w:autoSpaceDN/>
        <w:bidi w:val="0"/>
        <w:adjustRightInd/>
        <w:spacing w:line="312" w:lineRule="auto"/>
        <w:ind w:firstLine="482"/>
        <w:textAlignment w:val="auto"/>
        <w:rPr>
          <w:rFonts w:ascii="宋体" w:hAnsi="宋体" w:eastAsia="宋体" w:cs="宋体"/>
          <w:sz w:val="21"/>
          <w:szCs w:val="21"/>
        </w:rPr>
      </w:pPr>
      <w:r>
        <w:rPr>
          <w:rFonts w:hint="eastAsia" w:ascii="宋体" w:hAnsi="宋体" w:eastAsia="宋体" w:cs="宋体"/>
          <w:b/>
          <w:bCs/>
          <w:sz w:val="21"/>
          <w:szCs w:val="21"/>
        </w:rPr>
        <w:t>三、</w:t>
      </w:r>
      <w:r>
        <w:rPr>
          <w:rFonts w:hint="eastAsia" w:ascii="宋体" w:hAnsi="宋体" w:eastAsia="宋体" w:cs="宋体"/>
          <w:b/>
          <w:bCs/>
          <w:sz w:val="21"/>
          <w:szCs w:val="21"/>
          <w:lang w:val="zh-CN"/>
        </w:rPr>
        <w:t>报名及</w:t>
      </w:r>
      <w:r>
        <w:rPr>
          <w:rFonts w:hint="eastAsia" w:ascii="宋体" w:hAnsi="宋体" w:eastAsia="宋体" w:cs="宋体"/>
          <w:b/>
          <w:bCs/>
          <w:sz w:val="21"/>
          <w:szCs w:val="21"/>
        </w:rPr>
        <w:t>招标</w:t>
      </w:r>
      <w:r>
        <w:rPr>
          <w:rFonts w:hint="eastAsia" w:ascii="宋体" w:hAnsi="宋体" w:eastAsia="宋体" w:cs="宋体"/>
          <w:b/>
          <w:bCs/>
          <w:sz w:val="21"/>
          <w:szCs w:val="21"/>
          <w:lang w:val="zh-CN"/>
        </w:rPr>
        <w:t>文件获取方式</w:t>
      </w:r>
      <w:r>
        <w:rPr>
          <w:rFonts w:hint="eastAsia" w:ascii="宋体" w:hAnsi="宋体" w:eastAsia="宋体" w:cs="宋体"/>
          <w:sz w:val="21"/>
          <w:szCs w:val="21"/>
        </w:rPr>
        <w:t>：</w:t>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rPr>
        <w:t>1、获取招标文件方式：龙游县水务集团有限公司网站本项目采购公告附件处自行下载招标文件（供应商报名不能证明其符合投标人资格要求）。</w:t>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rPr>
        <w:t>2、报名时间及方式：</w:t>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rPr>
        <w:t>2.1报名截止时间：招标公告发布至202</w:t>
      </w:r>
      <w:r>
        <w:rPr>
          <w:rFonts w:hint="eastAsia" w:ascii="宋体" w:hAnsi="宋体" w:eastAsia="宋体" w:cs="宋体"/>
          <w:sz w:val="21"/>
          <w:szCs w:val="21"/>
          <w:lang w:val="en-US" w:eastAsia="zh-CN"/>
        </w:rPr>
        <w:t>5</w:t>
      </w:r>
      <w:r>
        <w:rPr>
          <w:rFonts w:hint="eastAsia" w:ascii="宋体" w:hAnsi="宋体" w:eastAsia="宋体" w:cs="宋体"/>
          <w:sz w:val="21"/>
          <w:szCs w:val="21"/>
        </w:rPr>
        <w:t>年</w:t>
      </w:r>
      <w:r>
        <w:rPr>
          <w:rFonts w:hint="eastAsia" w:ascii="宋体" w:hAnsi="宋体" w:eastAsia="宋体" w:cs="宋体"/>
          <w:sz w:val="21"/>
          <w:szCs w:val="21"/>
          <w:lang w:val="en-US" w:eastAsia="zh-CN"/>
        </w:rPr>
        <w:t>03</w:t>
      </w:r>
      <w:r>
        <w:rPr>
          <w:rFonts w:hint="eastAsia" w:ascii="宋体" w:hAnsi="宋体" w:eastAsia="宋体" w:cs="宋体"/>
          <w:sz w:val="21"/>
          <w:szCs w:val="21"/>
        </w:rPr>
        <w:t>月</w:t>
      </w:r>
      <w:r>
        <w:rPr>
          <w:rFonts w:hint="eastAsia" w:ascii="宋体" w:hAnsi="宋体" w:eastAsia="宋体" w:cs="宋体"/>
          <w:sz w:val="21"/>
          <w:szCs w:val="21"/>
          <w:lang w:val="en-US" w:eastAsia="zh-CN"/>
        </w:rPr>
        <w:t>17</w:t>
      </w:r>
      <w:r>
        <w:rPr>
          <w:rFonts w:hint="eastAsia" w:ascii="宋体" w:hAnsi="宋体" w:eastAsia="宋体" w:cs="宋体"/>
          <w:sz w:val="21"/>
          <w:szCs w:val="21"/>
        </w:rPr>
        <w:t>日止(双休日及法定节假日除外)，上午：8:30－12:00时，下午：14:00－17:00时。</w:t>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rPr>
        <w:t>2.2报名方式</w:t>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rPr>
        <w:t>2.2.1将以下报名资料扫描件发送至499345942@qq.com并致电采购代理机构联系人王先生（电话：18757033272）。</w:t>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rPr>
        <w:t>2.3报名时需提供以下证件资料：</w:t>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rPr>
        <w:t>2.3.1、供应商提供有效的营业执照副本复印件；</w:t>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rPr>
        <w:t>2.3.2、授权委托书（授权委托书须明确被授权人姓名、身份证号码、采购项目名称、项目编号、联系电话、邮箱、传真等）；</w:t>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rPr>
        <w:t>2.3.3、报名经办人身份证复印件；</w:t>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rPr>
        <w:t>2.4未经报名登记并获取采购文件的供应商参与本项目招投标活动的，将被拒绝。</w:t>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rPr>
        <w:t> 注：报名时，提供的报名资料均需加盖公章。报名不视为投标人满足资格审查要求，资格评审以评标委员会评标结果为准。</w:t>
      </w:r>
      <w:r>
        <w:rPr>
          <w:rFonts w:hint="eastAsia" w:asciiTheme="minorEastAsia" w:hAnsiTheme="minorEastAsia" w:eastAsiaTheme="minorEastAsia" w:cstheme="minorEastAsia"/>
          <w:sz w:val="21"/>
          <w:szCs w:val="21"/>
        </w:rPr>
        <w:t>招标文件发售截止后至投标截止时间前，均允许潜在投标人获取招标文件，但对招标文件的提疑须在本招标文件规定的时间内提出，逾期的提疑将不予受理</w:t>
      </w:r>
      <w:r>
        <w:rPr>
          <w:rFonts w:hint="eastAsia" w:ascii="宋体" w:hAnsi="宋体" w:eastAsia="宋体" w:cs="宋体"/>
          <w:sz w:val="21"/>
          <w:szCs w:val="21"/>
        </w:rPr>
        <w:t>。</w:t>
      </w:r>
    </w:p>
    <w:p>
      <w:pPr>
        <w:pageBreakBefore w:val="0"/>
        <w:kinsoku/>
        <w:wordWrap/>
        <w:overflowPunct/>
        <w:topLinePunct w:val="0"/>
        <w:autoSpaceDE/>
        <w:autoSpaceDN/>
        <w:bidi w:val="0"/>
        <w:adjustRightInd/>
        <w:spacing w:line="312" w:lineRule="auto"/>
        <w:ind w:left="480" w:firstLine="0" w:firstLineChars="0"/>
        <w:textAlignment w:val="auto"/>
        <w:rPr>
          <w:rFonts w:ascii="宋体" w:hAnsi="宋体" w:eastAsia="宋体" w:cs="宋体"/>
          <w:b/>
          <w:bCs/>
          <w:sz w:val="21"/>
          <w:szCs w:val="21"/>
        </w:rPr>
      </w:pPr>
      <w:r>
        <w:rPr>
          <w:rFonts w:hint="eastAsia" w:ascii="宋体" w:hAnsi="宋体" w:eastAsia="宋体" w:cs="宋体"/>
          <w:b/>
          <w:bCs/>
          <w:sz w:val="21"/>
          <w:szCs w:val="21"/>
        </w:rPr>
        <w:t>四、投标截止时间和地点：</w:t>
      </w:r>
    </w:p>
    <w:p>
      <w:pPr>
        <w:pageBreakBefore w:val="0"/>
        <w:numPr>
          <w:ilvl w:val="0"/>
          <w:numId w:val="2"/>
        </w:numPr>
        <w:kinsoku/>
        <w:wordWrap/>
        <w:overflowPunct/>
        <w:topLinePunct w:val="0"/>
        <w:autoSpaceDE/>
        <w:autoSpaceDN/>
        <w:bidi w:val="0"/>
        <w:adjustRightInd/>
        <w:spacing w:line="312" w:lineRule="auto"/>
        <w:ind w:left="480" w:leftChars="200" w:firstLine="480"/>
        <w:textAlignment w:val="auto"/>
        <w:rPr>
          <w:rFonts w:ascii="宋体" w:hAnsi="宋体" w:eastAsia="宋体" w:cs="宋体"/>
          <w:sz w:val="21"/>
          <w:szCs w:val="21"/>
        </w:rPr>
      </w:pPr>
      <w:r>
        <w:rPr>
          <w:rFonts w:hint="eastAsia" w:ascii="宋体" w:hAnsi="宋体" w:eastAsia="宋体" w:cs="宋体"/>
          <w:sz w:val="21"/>
          <w:szCs w:val="21"/>
        </w:rPr>
        <w:t>投标文件递交截止时间：投标人应于202</w:t>
      </w:r>
      <w:r>
        <w:rPr>
          <w:rFonts w:hint="eastAsia" w:ascii="宋体" w:hAnsi="宋体" w:eastAsia="宋体" w:cs="宋体"/>
          <w:sz w:val="21"/>
          <w:szCs w:val="21"/>
          <w:lang w:val="en-US" w:eastAsia="zh-CN"/>
        </w:rPr>
        <w:t>5</w:t>
      </w:r>
      <w:r>
        <w:rPr>
          <w:rFonts w:hint="eastAsia" w:ascii="宋体" w:hAnsi="宋体" w:eastAsia="宋体" w:cs="宋体"/>
          <w:sz w:val="21"/>
          <w:szCs w:val="21"/>
        </w:rPr>
        <w:t>年</w:t>
      </w:r>
      <w:r>
        <w:rPr>
          <w:rFonts w:hint="eastAsia" w:ascii="宋体" w:hAnsi="宋体" w:eastAsia="宋体" w:cs="宋体"/>
          <w:sz w:val="21"/>
          <w:szCs w:val="21"/>
          <w:highlight w:val="yellow"/>
          <w:lang w:val="en-US" w:eastAsia="zh-CN"/>
        </w:rPr>
        <w:t>03</w:t>
      </w:r>
      <w:r>
        <w:rPr>
          <w:rFonts w:hint="eastAsia" w:ascii="宋体" w:hAnsi="宋体" w:eastAsia="宋体" w:cs="宋体"/>
          <w:sz w:val="21"/>
          <w:szCs w:val="21"/>
          <w:highlight w:val="yellow"/>
        </w:rPr>
        <w:t>月</w:t>
      </w:r>
      <w:r>
        <w:rPr>
          <w:rFonts w:hint="eastAsia" w:ascii="宋体" w:hAnsi="宋体" w:eastAsia="宋体" w:cs="宋体"/>
          <w:sz w:val="21"/>
          <w:szCs w:val="21"/>
          <w:highlight w:val="yellow"/>
          <w:lang w:val="en-US" w:eastAsia="zh-CN"/>
        </w:rPr>
        <w:t>21</w:t>
      </w:r>
      <w:r>
        <w:rPr>
          <w:rFonts w:hint="eastAsia" w:ascii="宋体" w:hAnsi="宋体" w:eastAsia="宋体" w:cs="宋体"/>
          <w:sz w:val="21"/>
          <w:szCs w:val="21"/>
          <w:highlight w:val="yellow"/>
        </w:rPr>
        <w:t>日</w:t>
      </w:r>
      <w:r>
        <w:rPr>
          <w:rFonts w:hint="eastAsia" w:ascii="宋体" w:hAnsi="宋体" w:eastAsia="宋体" w:cs="宋体"/>
          <w:sz w:val="21"/>
          <w:szCs w:val="21"/>
          <w:lang w:val="en-US" w:eastAsia="zh-CN"/>
        </w:rPr>
        <w:t>15:30</w:t>
      </w:r>
      <w:r>
        <w:rPr>
          <w:rFonts w:hint="eastAsia" w:ascii="宋体" w:hAnsi="宋体" w:eastAsia="宋体" w:cs="宋体"/>
          <w:sz w:val="21"/>
          <w:szCs w:val="21"/>
        </w:rPr>
        <w:t>时</w:t>
      </w:r>
      <w:bookmarkStart w:id="24" w:name="OLE_LINK6"/>
      <w:r>
        <w:rPr>
          <w:rFonts w:hint="eastAsia" w:ascii="宋体" w:hAnsi="宋体" w:eastAsia="宋体" w:cs="宋体"/>
          <w:sz w:val="21"/>
          <w:szCs w:val="21"/>
        </w:rPr>
        <w:t>整（北京时间）</w:t>
      </w:r>
      <w:bookmarkEnd w:id="24"/>
      <w:r>
        <w:rPr>
          <w:rFonts w:hint="eastAsia" w:ascii="宋体" w:hAnsi="宋体" w:eastAsia="宋体" w:cs="宋体"/>
          <w:sz w:val="21"/>
          <w:szCs w:val="21"/>
        </w:rPr>
        <w:t>，逾期送达的拒收；</w:t>
      </w:r>
    </w:p>
    <w:p>
      <w:pPr>
        <w:pageBreakBefore w:val="0"/>
        <w:numPr>
          <w:ilvl w:val="0"/>
          <w:numId w:val="2"/>
        </w:numPr>
        <w:kinsoku/>
        <w:wordWrap/>
        <w:overflowPunct/>
        <w:topLinePunct w:val="0"/>
        <w:autoSpaceDE/>
        <w:autoSpaceDN/>
        <w:bidi w:val="0"/>
        <w:adjustRightInd/>
        <w:spacing w:line="312" w:lineRule="auto"/>
        <w:ind w:left="480" w:leftChars="200" w:firstLine="480"/>
        <w:textAlignment w:val="auto"/>
        <w:rPr>
          <w:rFonts w:ascii="宋体" w:hAnsi="宋体" w:eastAsia="宋体" w:cs="宋体"/>
          <w:sz w:val="21"/>
          <w:szCs w:val="21"/>
        </w:rPr>
      </w:pPr>
      <w:r>
        <w:rPr>
          <w:rFonts w:hint="eastAsia" w:ascii="宋体" w:hAnsi="宋体" w:eastAsia="宋体" w:cs="宋体"/>
          <w:sz w:val="21"/>
          <w:szCs w:val="21"/>
        </w:rPr>
        <w:t>递交地点：龙游县水务集团有限公司1楼开标室，逾期送达作无效标处理。</w:t>
      </w:r>
    </w:p>
    <w:p>
      <w:pPr>
        <w:pageBreakBefore w:val="0"/>
        <w:kinsoku/>
        <w:wordWrap/>
        <w:overflowPunct/>
        <w:topLinePunct w:val="0"/>
        <w:autoSpaceDE/>
        <w:autoSpaceDN/>
        <w:bidi w:val="0"/>
        <w:adjustRightInd/>
        <w:spacing w:line="312" w:lineRule="auto"/>
        <w:ind w:firstLine="482"/>
        <w:textAlignment w:val="auto"/>
        <w:rPr>
          <w:rFonts w:ascii="宋体" w:hAnsi="宋体" w:eastAsia="宋体" w:cs="宋体"/>
          <w:sz w:val="21"/>
          <w:szCs w:val="21"/>
        </w:rPr>
      </w:pPr>
      <w:r>
        <w:rPr>
          <w:rFonts w:hint="eastAsia" w:ascii="宋体" w:hAnsi="宋体" w:eastAsia="宋体" w:cs="宋体"/>
          <w:b/>
          <w:bCs/>
          <w:sz w:val="21"/>
          <w:szCs w:val="21"/>
        </w:rPr>
        <w:t>五、开标时间和地点：</w:t>
      </w:r>
      <w:r>
        <w:rPr>
          <w:rFonts w:hint="eastAsia" w:ascii="宋体" w:hAnsi="宋体" w:eastAsia="宋体" w:cs="宋体"/>
          <w:sz w:val="21"/>
          <w:szCs w:val="21"/>
        </w:rPr>
        <w:t>本次招标将于202</w:t>
      </w:r>
      <w:r>
        <w:rPr>
          <w:rFonts w:hint="eastAsia" w:ascii="宋体" w:hAnsi="宋体" w:eastAsia="宋体" w:cs="宋体"/>
          <w:sz w:val="21"/>
          <w:szCs w:val="21"/>
          <w:lang w:val="en-US" w:eastAsia="zh-CN"/>
        </w:rPr>
        <w:t>5</w:t>
      </w:r>
      <w:r>
        <w:rPr>
          <w:rFonts w:hint="eastAsia" w:ascii="宋体" w:hAnsi="宋体" w:eastAsia="宋体" w:cs="宋体"/>
          <w:sz w:val="21"/>
          <w:szCs w:val="21"/>
        </w:rPr>
        <w:t>年</w:t>
      </w:r>
      <w:r>
        <w:rPr>
          <w:rFonts w:hint="eastAsia" w:ascii="宋体" w:hAnsi="宋体" w:eastAsia="宋体" w:cs="宋体"/>
          <w:sz w:val="21"/>
          <w:szCs w:val="21"/>
          <w:highlight w:val="yellow"/>
          <w:lang w:val="en-US" w:eastAsia="zh-CN"/>
        </w:rPr>
        <w:t>03</w:t>
      </w:r>
      <w:r>
        <w:rPr>
          <w:rFonts w:hint="eastAsia" w:ascii="宋体" w:hAnsi="宋体" w:eastAsia="宋体" w:cs="宋体"/>
          <w:sz w:val="21"/>
          <w:szCs w:val="21"/>
          <w:highlight w:val="yellow"/>
        </w:rPr>
        <w:t>月</w:t>
      </w:r>
      <w:r>
        <w:rPr>
          <w:rFonts w:hint="eastAsia" w:ascii="宋体" w:hAnsi="宋体" w:eastAsia="宋体" w:cs="宋体"/>
          <w:sz w:val="21"/>
          <w:szCs w:val="21"/>
          <w:highlight w:val="yellow"/>
          <w:lang w:val="en-US" w:eastAsia="zh-CN"/>
        </w:rPr>
        <w:t>21</w:t>
      </w:r>
      <w:r>
        <w:rPr>
          <w:rFonts w:hint="eastAsia" w:ascii="宋体" w:hAnsi="宋体" w:eastAsia="宋体" w:cs="宋体"/>
          <w:sz w:val="21"/>
          <w:szCs w:val="21"/>
          <w:highlight w:val="yellow"/>
        </w:rPr>
        <w:t>日</w:t>
      </w:r>
      <w:r>
        <w:rPr>
          <w:rFonts w:hint="eastAsia" w:ascii="宋体" w:hAnsi="宋体" w:eastAsia="宋体" w:cs="宋体"/>
          <w:sz w:val="21"/>
          <w:szCs w:val="21"/>
          <w:lang w:val="en-US" w:eastAsia="zh-CN"/>
        </w:rPr>
        <w:t>15:30</w:t>
      </w:r>
      <w:r>
        <w:rPr>
          <w:rFonts w:hint="eastAsia" w:ascii="宋体" w:hAnsi="宋体" w:eastAsia="宋体" w:cs="宋体"/>
          <w:sz w:val="21"/>
          <w:szCs w:val="21"/>
        </w:rPr>
        <w:t>时在龙游县水务集团有限公司1楼开标室开标。</w:t>
      </w:r>
    </w:p>
    <w:p>
      <w:pPr>
        <w:pageBreakBefore w:val="0"/>
        <w:kinsoku/>
        <w:wordWrap/>
        <w:overflowPunct/>
        <w:topLinePunct w:val="0"/>
        <w:autoSpaceDE/>
        <w:autoSpaceDN/>
        <w:bidi w:val="0"/>
        <w:adjustRightInd/>
        <w:spacing w:line="312" w:lineRule="auto"/>
        <w:ind w:firstLine="482"/>
        <w:textAlignment w:val="auto"/>
        <w:rPr>
          <w:rFonts w:ascii="宋体" w:hAnsi="宋体" w:eastAsia="宋体" w:cs="宋体"/>
          <w:b/>
          <w:bCs/>
          <w:sz w:val="21"/>
          <w:szCs w:val="21"/>
        </w:rPr>
      </w:pPr>
      <w:r>
        <w:rPr>
          <w:rFonts w:hint="eastAsia" w:ascii="宋体" w:hAnsi="宋体" w:eastAsia="宋体" w:cs="宋体"/>
          <w:b/>
          <w:bCs/>
          <w:sz w:val="21"/>
          <w:szCs w:val="21"/>
        </w:rPr>
        <w:t>六、质疑与答复</w:t>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rPr>
        <w:t>1.投标人对采购公告、采购文件有异议的，在202</w:t>
      </w:r>
      <w:r>
        <w:rPr>
          <w:rFonts w:hint="eastAsia" w:ascii="宋体" w:hAnsi="宋体" w:eastAsia="宋体" w:cs="宋体"/>
          <w:sz w:val="21"/>
          <w:szCs w:val="21"/>
          <w:lang w:val="en-US" w:eastAsia="zh-CN"/>
        </w:rPr>
        <w:t>5</w:t>
      </w:r>
      <w:r>
        <w:rPr>
          <w:rFonts w:hint="eastAsia" w:ascii="宋体" w:hAnsi="宋体" w:eastAsia="宋体" w:cs="宋体"/>
          <w:sz w:val="21"/>
          <w:szCs w:val="21"/>
        </w:rPr>
        <w:t>年</w:t>
      </w:r>
      <w:r>
        <w:rPr>
          <w:rFonts w:hint="eastAsia" w:ascii="宋体" w:hAnsi="宋体" w:eastAsia="宋体" w:cs="宋体"/>
          <w:sz w:val="21"/>
          <w:szCs w:val="21"/>
          <w:lang w:val="en-US" w:eastAsia="zh-CN"/>
        </w:rPr>
        <w:t>03</w:t>
      </w:r>
      <w:r>
        <w:rPr>
          <w:rFonts w:hint="eastAsia" w:ascii="宋体" w:hAnsi="宋体" w:eastAsia="宋体" w:cs="宋体"/>
          <w:sz w:val="21"/>
          <w:szCs w:val="21"/>
        </w:rPr>
        <w:t>月</w:t>
      </w:r>
      <w:r>
        <w:rPr>
          <w:rFonts w:hint="eastAsia" w:ascii="宋体" w:hAnsi="宋体" w:eastAsia="宋体" w:cs="宋体"/>
          <w:sz w:val="21"/>
          <w:szCs w:val="21"/>
          <w:lang w:val="en-US" w:eastAsia="zh-CN"/>
        </w:rPr>
        <w:t>17</w:t>
      </w:r>
      <w:r>
        <w:rPr>
          <w:rFonts w:hint="eastAsia" w:ascii="宋体" w:hAnsi="宋体" w:eastAsia="宋体" w:cs="宋体"/>
          <w:sz w:val="21"/>
          <w:szCs w:val="21"/>
        </w:rPr>
        <w:t>日</w:t>
      </w:r>
      <w:r>
        <w:rPr>
          <w:rFonts w:hint="eastAsia" w:ascii="宋体" w:hAnsi="宋体" w:eastAsia="宋体" w:cs="宋体"/>
          <w:sz w:val="21"/>
          <w:szCs w:val="21"/>
          <w:lang w:val="en-US" w:eastAsia="zh-CN"/>
        </w:rPr>
        <w:t>17</w:t>
      </w:r>
      <w:r>
        <w:rPr>
          <w:rFonts w:hint="eastAsia" w:ascii="宋体" w:hAnsi="宋体" w:eastAsia="宋体" w:cs="宋体"/>
          <w:sz w:val="21"/>
          <w:szCs w:val="21"/>
        </w:rPr>
        <w:t>：00时前以书面形式向采购人和采购代理机构提出，逾期提出不予受理。</w:t>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rPr>
        <w:t>2.采购文件的答疑、补充、修改等于202</w:t>
      </w:r>
      <w:r>
        <w:rPr>
          <w:rFonts w:hint="eastAsia" w:ascii="宋体" w:hAnsi="宋体" w:eastAsia="宋体" w:cs="宋体"/>
          <w:sz w:val="21"/>
          <w:szCs w:val="21"/>
          <w:lang w:val="en-US" w:eastAsia="zh-CN"/>
        </w:rPr>
        <w:t>5</w:t>
      </w:r>
      <w:r>
        <w:rPr>
          <w:rFonts w:hint="eastAsia" w:ascii="宋体" w:hAnsi="宋体" w:eastAsia="宋体" w:cs="宋体"/>
          <w:sz w:val="21"/>
          <w:szCs w:val="21"/>
        </w:rPr>
        <w:t>年</w:t>
      </w:r>
      <w:r>
        <w:rPr>
          <w:rFonts w:hint="eastAsia" w:ascii="宋体" w:hAnsi="宋体" w:eastAsia="宋体" w:cs="宋体"/>
          <w:sz w:val="21"/>
          <w:szCs w:val="21"/>
          <w:lang w:val="en-US" w:eastAsia="zh-CN"/>
        </w:rPr>
        <w:t>03</w:t>
      </w:r>
      <w:r>
        <w:rPr>
          <w:rFonts w:hint="eastAsia" w:ascii="宋体" w:hAnsi="宋体" w:eastAsia="宋体" w:cs="宋体"/>
          <w:sz w:val="21"/>
          <w:szCs w:val="21"/>
        </w:rPr>
        <w:t>月</w:t>
      </w:r>
      <w:r>
        <w:rPr>
          <w:rFonts w:hint="eastAsia" w:ascii="宋体" w:hAnsi="宋体" w:eastAsia="宋体" w:cs="宋体"/>
          <w:sz w:val="21"/>
          <w:szCs w:val="21"/>
          <w:lang w:val="en-US" w:eastAsia="zh-CN"/>
        </w:rPr>
        <w:t>18</w:t>
      </w:r>
      <w:r>
        <w:rPr>
          <w:rFonts w:hint="eastAsia" w:ascii="宋体" w:hAnsi="宋体" w:eastAsia="宋体" w:cs="宋体"/>
          <w:sz w:val="21"/>
          <w:szCs w:val="21"/>
        </w:rPr>
        <w:t>日17：00时前在</w:t>
      </w:r>
      <w:r>
        <w:rPr>
          <w:rFonts w:hint="eastAsia" w:ascii="宋体" w:hAnsi="宋体" w:eastAsia="宋体" w:cs="宋体"/>
          <w:sz w:val="21"/>
          <w:szCs w:val="21"/>
          <w:lang w:val="zh-CN"/>
        </w:rPr>
        <w:t>龙游县水务集团有限公司网站</w:t>
      </w:r>
      <w:r>
        <w:rPr>
          <w:rFonts w:hint="eastAsia" w:ascii="宋体" w:hAnsi="宋体" w:eastAsia="宋体" w:cs="宋体"/>
          <w:sz w:val="21"/>
          <w:szCs w:val="21"/>
        </w:rPr>
        <w:t>公布，请各投标人自行查看。</w:t>
      </w:r>
    </w:p>
    <w:p>
      <w:pPr>
        <w:pageBreakBefore w:val="0"/>
        <w:kinsoku/>
        <w:wordWrap/>
        <w:overflowPunct/>
        <w:topLinePunct w:val="0"/>
        <w:autoSpaceDE/>
        <w:autoSpaceDN/>
        <w:bidi w:val="0"/>
        <w:adjustRightInd/>
        <w:spacing w:line="312" w:lineRule="auto"/>
        <w:ind w:firstLine="482"/>
        <w:textAlignment w:val="auto"/>
        <w:rPr>
          <w:rFonts w:ascii="宋体" w:hAnsi="宋体" w:eastAsia="宋体" w:cs="宋体"/>
          <w:b/>
          <w:bCs/>
          <w:sz w:val="21"/>
          <w:szCs w:val="21"/>
        </w:rPr>
      </w:pPr>
      <w:r>
        <w:rPr>
          <w:rFonts w:hint="eastAsia" w:ascii="宋体" w:hAnsi="宋体" w:eastAsia="宋体" w:cs="宋体"/>
          <w:b/>
          <w:bCs/>
          <w:sz w:val="21"/>
          <w:szCs w:val="21"/>
        </w:rPr>
        <w:t>七、投标信息发布及下载网址</w:t>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lang w:val="zh-CN"/>
        </w:rPr>
        <w:t>龙游县水务集团有限公司网站</w:t>
      </w:r>
      <w:r>
        <w:rPr>
          <w:rFonts w:hint="eastAsia" w:ascii="宋体" w:hAnsi="宋体" w:cs="宋体"/>
          <w:kern w:val="0"/>
          <w:sz w:val="21"/>
          <w:szCs w:val="21"/>
        </w:rPr>
        <w:t>（http://www.lyswjt.com）</w:t>
      </w:r>
    </w:p>
    <w:p>
      <w:pPr>
        <w:pageBreakBefore w:val="0"/>
        <w:kinsoku/>
        <w:wordWrap/>
        <w:overflowPunct/>
        <w:topLinePunct w:val="0"/>
        <w:autoSpaceDE/>
        <w:autoSpaceDN/>
        <w:bidi w:val="0"/>
        <w:adjustRightInd/>
        <w:spacing w:line="312" w:lineRule="auto"/>
        <w:ind w:firstLine="482"/>
        <w:textAlignment w:val="auto"/>
        <w:rPr>
          <w:rFonts w:ascii="宋体" w:hAnsi="宋体" w:eastAsia="宋体" w:cs="宋体"/>
          <w:b/>
          <w:bCs/>
          <w:sz w:val="21"/>
          <w:szCs w:val="21"/>
        </w:rPr>
      </w:pPr>
      <w:r>
        <w:rPr>
          <w:rFonts w:hint="eastAsia" w:ascii="宋体" w:hAnsi="宋体" w:eastAsia="宋体" w:cs="宋体"/>
          <w:b/>
          <w:bCs/>
          <w:sz w:val="21"/>
          <w:szCs w:val="21"/>
        </w:rPr>
        <w:t>八、信用记录：</w:t>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rPr>
        <w:t>根据财库[2016]125号《关于在政府采购活动中查询及使用信用记录有关问题的通知》要求，对供应商信用记录进行查询并甄别。</w:t>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rPr>
        <w:t>1.信用信息查询的截止时点：递交投标文件截止时间</w:t>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rPr>
        <w:t>2.查询渠道：</w:t>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rPr>
        <w:t xml:space="preserve"> 信用中国（www.creditchina.gov.cn）；</w:t>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rPr>
        <w:t xml:space="preserve"> 中国政府采购网（www.ccgp.gov.cn）；</w:t>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rPr>
        <w:t xml:space="preserve"> 浙江政府采购网（http://zfcg.czt.zj.gov.cn/）；</w:t>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rPr>
        <w:t>3.信用信息查询记录和证据留存具体方式：采购代理机构经办人和监督人将查询网页打印、签字与其他采购文件一并保存；</w:t>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rPr>
        <w:t>4.信用信息的使用规则：投标方存在不良信用记录的，其投标文件在资格审查时均不予以通过。</w:t>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rPr>
        <w:t>不良信用记录指：被“信用中国”网站（www.creditchina.gov.vn）列入失信被执行人、重大税收违法案件当事人名单、政府采购严重违法失信名单；在投标截止之日至前三年内，在“中国政府采购网”(www.ccgp.gov.cn)列入政府采购严重违法失信行为记录名单中的且在处罚有效期内的；在投标截止之日至前三年内，在“浙江政府采购网”（ http://zfcg.czt.zj.gov.cn/）“曝光台”中被曝光且在处罚有效期内的。</w:t>
      </w:r>
    </w:p>
    <w:p>
      <w:pPr>
        <w:pageBreakBefore w:val="0"/>
        <w:kinsoku/>
        <w:wordWrap/>
        <w:overflowPunct/>
        <w:topLinePunct w:val="0"/>
        <w:autoSpaceDE/>
        <w:autoSpaceDN/>
        <w:bidi w:val="0"/>
        <w:adjustRightInd/>
        <w:spacing w:line="312" w:lineRule="auto"/>
        <w:ind w:firstLine="482"/>
        <w:textAlignment w:val="auto"/>
        <w:rPr>
          <w:rFonts w:ascii="宋体" w:hAnsi="宋体" w:eastAsia="宋体" w:cs="宋体"/>
          <w:b/>
          <w:bCs/>
          <w:sz w:val="21"/>
          <w:szCs w:val="21"/>
        </w:rPr>
      </w:pPr>
      <w:r>
        <w:rPr>
          <w:rFonts w:hint="eastAsia" w:ascii="宋体" w:hAnsi="宋体" w:eastAsia="宋体" w:cs="宋体"/>
          <w:b/>
          <w:bCs/>
          <w:sz w:val="21"/>
          <w:szCs w:val="21"/>
        </w:rPr>
        <w:t>九、其他事项：</w:t>
      </w:r>
    </w:p>
    <w:p>
      <w:pPr>
        <w:pageBreakBefore w:val="0"/>
        <w:kinsoku/>
        <w:wordWrap/>
        <w:overflowPunct/>
        <w:topLinePunct w:val="0"/>
        <w:autoSpaceDE/>
        <w:autoSpaceDN/>
        <w:bidi w:val="0"/>
        <w:adjustRightInd/>
        <w:spacing w:line="312" w:lineRule="auto"/>
        <w:ind w:firstLine="480"/>
        <w:textAlignment w:val="auto"/>
        <w:outlineLvl w:val="1"/>
        <w:rPr>
          <w:rFonts w:ascii="宋体" w:hAnsi="宋体" w:eastAsia="宋体" w:cs="宋体"/>
          <w:sz w:val="21"/>
          <w:szCs w:val="21"/>
        </w:rPr>
      </w:pPr>
      <w:r>
        <w:rPr>
          <w:rFonts w:hint="eastAsia" w:ascii="宋体" w:hAnsi="宋体" w:eastAsia="宋体" w:cs="宋体"/>
          <w:sz w:val="21"/>
          <w:szCs w:val="21"/>
        </w:rPr>
        <w:t>1.质疑和投诉：供应商认为采购文件使自己的权益受到损害的，可以自获取采购文件之日或者采购公告期限届满之日（公告期限届满后获取采购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pPr>
        <w:pageBreakBefore w:val="0"/>
        <w:kinsoku/>
        <w:wordWrap/>
        <w:overflowPunct/>
        <w:topLinePunct w:val="0"/>
        <w:autoSpaceDE/>
        <w:autoSpaceDN/>
        <w:bidi w:val="0"/>
        <w:adjustRightInd/>
        <w:spacing w:line="312" w:lineRule="auto"/>
        <w:ind w:firstLine="482"/>
        <w:textAlignment w:val="auto"/>
        <w:rPr>
          <w:rFonts w:ascii="宋体" w:hAnsi="宋体" w:eastAsia="宋体" w:cs="宋体"/>
          <w:b/>
          <w:bCs/>
          <w:sz w:val="21"/>
          <w:szCs w:val="21"/>
        </w:rPr>
      </w:pPr>
      <w:r>
        <w:rPr>
          <w:rFonts w:hint="eastAsia" w:ascii="宋体" w:hAnsi="宋体" w:eastAsia="宋体" w:cs="宋体"/>
          <w:b/>
          <w:bCs/>
          <w:sz w:val="21"/>
          <w:szCs w:val="21"/>
        </w:rPr>
        <w:t>十、联系方式</w:t>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rPr>
        <w:t>1、采购人信息</w:t>
      </w:r>
    </w:p>
    <w:p>
      <w:pPr>
        <w:pageBreakBefore w:val="0"/>
        <w:kinsoku/>
        <w:wordWrap/>
        <w:overflowPunct/>
        <w:topLinePunct w:val="0"/>
        <w:autoSpaceDE/>
        <w:autoSpaceDN/>
        <w:bidi w:val="0"/>
        <w:adjustRightInd/>
        <w:spacing w:line="312" w:lineRule="auto"/>
        <w:ind w:firstLine="480"/>
        <w:textAlignment w:val="auto"/>
        <w:rPr>
          <w:rFonts w:hint="eastAsia" w:ascii="宋体" w:hAnsi="宋体" w:eastAsia="宋体" w:cs="宋体"/>
          <w:sz w:val="21"/>
          <w:szCs w:val="21"/>
          <w:lang w:eastAsia="zh-CN"/>
        </w:rPr>
      </w:pPr>
      <w:bookmarkStart w:id="25" w:name="OLE_LINK7"/>
      <w:r>
        <w:rPr>
          <w:rFonts w:hint="eastAsia" w:ascii="宋体" w:hAnsi="宋体" w:eastAsia="宋体" w:cs="宋体"/>
          <w:sz w:val="21"/>
          <w:szCs w:val="21"/>
        </w:rPr>
        <w:t>名 称：</w:t>
      </w:r>
      <w:r>
        <w:rPr>
          <w:rFonts w:hint="eastAsia" w:ascii="宋体" w:hAnsi="宋体" w:eastAsia="宋体" w:cs="宋体"/>
          <w:sz w:val="21"/>
          <w:szCs w:val="21"/>
          <w:lang w:eastAsia="zh-CN"/>
        </w:rPr>
        <w:t>龙游华水农村供水发展有限公司</w:t>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rPr>
        <w:t>地点：</w:t>
      </w:r>
      <w:r>
        <w:rPr>
          <w:rFonts w:hint="eastAsia" w:ascii="宋体" w:hAnsi="宋体" w:eastAsia="宋体" w:cs="宋体"/>
          <w:sz w:val="21"/>
          <w:szCs w:val="21"/>
          <w:lang w:val="zh-CN"/>
        </w:rPr>
        <w:t>龙游县龙洲街道荣昌路东道35号</w:t>
      </w:r>
    </w:p>
    <w:p>
      <w:pPr>
        <w:pageBreakBefore w:val="0"/>
        <w:kinsoku/>
        <w:wordWrap/>
        <w:overflowPunct/>
        <w:topLinePunct w:val="0"/>
        <w:autoSpaceDE/>
        <w:autoSpaceDN/>
        <w:bidi w:val="0"/>
        <w:adjustRightInd/>
        <w:spacing w:line="312" w:lineRule="auto"/>
        <w:ind w:firstLine="48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eastAsia="zh-CN"/>
        </w:rPr>
        <w:t>项目联系人：</w:t>
      </w:r>
      <w:r>
        <w:rPr>
          <w:rFonts w:hint="eastAsia" w:ascii="宋体" w:hAnsi="宋体" w:eastAsia="宋体" w:cs="宋体"/>
          <w:sz w:val="21"/>
          <w:szCs w:val="21"/>
          <w:lang w:val="en-US" w:eastAsia="zh-CN"/>
        </w:rPr>
        <w:t>王先生</w:t>
      </w:r>
    </w:p>
    <w:p>
      <w:pPr>
        <w:pageBreakBefore w:val="0"/>
        <w:kinsoku/>
        <w:wordWrap/>
        <w:overflowPunct/>
        <w:topLinePunct w:val="0"/>
        <w:autoSpaceDE/>
        <w:autoSpaceDN/>
        <w:bidi w:val="0"/>
        <w:adjustRightInd/>
        <w:spacing w:line="312" w:lineRule="auto"/>
        <w:ind w:firstLine="48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联系电话：</w:t>
      </w:r>
      <w:r>
        <w:rPr>
          <w:rFonts w:hint="eastAsia" w:ascii="宋体" w:hAnsi="宋体" w:cs="宋体"/>
          <w:sz w:val="21"/>
          <w:szCs w:val="21"/>
          <w:vertAlign w:val="baseline"/>
          <w:lang w:val="en-US" w:eastAsia="zh-CN"/>
        </w:rPr>
        <w:t>13967013406</w:t>
      </w:r>
    </w:p>
    <w:bookmarkEnd w:id="25"/>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bookmarkStart w:id="26" w:name="OLE_LINK8"/>
      <w:r>
        <w:rPr>
          <w:rFonts w:hint="eastAsia" w:ascii="宋体" w:hAnsi="宋体" w:eastAsia="宋体" w:cs="宋体"/>
          <w:sz w:val="21"/>
          <w:szCs w:val="21"/>
        </w:rPr>
        <w:t>2、采购代理机构名称</w:t>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rPr>
        <w:t>名称：泰宇建筑工程技术咨询有限公司</w:t>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rPr>
        <w:t>地点：龙游县环城西路144号新华书店四楼</w:t>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rPr>
        <w:t xml:space="preserve">项目联系人：王先生    </w:t>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rPr>
        <w:t>联系方式：18757033272（723272）</w:t>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rPr>
        <w:t>电子邮箱：</w:t>
      </w:r>
      <w:r>
        <w:rPr>
          <w:rFonts w:hint="eastAsia"/>
          <w:sz w:val="21"/>
          <w:szCs w:val="21"/>
        </w:rPr>
        <w:fldChar w:fldCharType="begin"/>
      </w:r>
      <w:r>
        <w:rPr>
          <w:sz w:val="21"/>
          <w:szCs w:val="21"/>
        </w:rPr>
        <w:instrText xml:space="preserve"> HYPERLINK "mailto:18958139919@163.com" </w:instrText>
      </w:r>
      <w:r>
        <w:rPr>
          <w:rFonts w:hint="eastAsia"/>
          <w:sz w:val="21"/>
          <w:szCs w:val="21"/>
        </w:rPr>
        <w:fldChar w:fldCharType="separate"/>
      </w:r>
      <w:r>
        <w:rPr>
          <w:rFonts w:hint="eastAsia" w:ascii="宋体" w:hAnsi="宋体" w:eastAsia="宋体" w:cs="宋体"/>
          <w:sz w:val="21"/>
          <w:szCs w:val="21"/>
        </w:rPr>
        <w:t>499345942@qq.com</w:t>
      </w:r>
      <w:r>
        <w:rPr>
          <w:rFonts w:hint="eastAsia" w:ascii="宋体" w:hAnsi="宋体" w:eastAsia="宋体" w:cs="宋体"/>
          <w:sz w:val="21"/>
          <w:szCs w:val="21"/>
        </w:rPr>
        <w:fldChar w:fldCharType="end"/>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rPr>
        <w:t>质疑受理人：赵女士</w:t>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rPr>
        <w:t>联系电话：0570-7186100</w:t>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rPr>
        <w:t>3、监督机构名称：龙游县水务集团有限公司</w:t>
      </w:r>
      <w:r>
        <w:rPr>
          <w:rFonts w:hint="eastAsia" w:ascii="宋体" w:hAnsi="宋体" w:eastAsia="宋体" w:cs="宋体"/>
          <w:sz w:val="21"/>
          <w:szCs w:val="21"/>
          <w:lang w:eastAsia="zh-CN"/>
        </w:rPr>
        <w:t>招投标分中心</w:t>
      </w:r>
      <w:r>
        <w:rPr>
          <w:rFonts w:hint="eastAsia" w:ascii="宋体" w:hAnsi="宋体" w:eastAsia="宋体" w:cs="宋体"/>
          <w:sz w:val="21"/>
          <w:szCs w:val="21"/>
        </w:rPr>
        <w:t> </w:t>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rPr>
        <w:t>联系人：夏</w:t>
      </w:r>
      <w:r>
        <w:rPr>
          <w:rFonts w:hint="eastAsia" w:ascii="宋体" w:hAnsi="宋体" w:eastAsia="宋体" w:cs="宋体"/>
          <w:sz w:val="21"/>
          <w:szCs w:val="21"/>
          <w:lang w:val="en-US" w:eastAsia="zh-CN"/>
        </w:rPr>
        <w:t>工</w:t>
      </w:r>
      <w:r>
        <w:rPr>
          <w:rFonts w:hint="eastAsia" w:ascii="宋体" w:hAnsi="宋体" w:eastAsia="宋体" w:cs="宋体"/>
          <w:sz w:val="21"/>
          <w:szCs w:val="21"/>
        </w:rPr>
        <w:t xml:space="preserve">  </w:t>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rPr>
        <w:t>联系电话： 18367058222  </w:t>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r>
        <w:rPr>
          <w:rFonts w:hint="eastAsia" w:ascii="宋体" w:hAnsi="宋体" w:eastAsia="宋体" w:cs="宋体"/>
          <w:sz w:val="21"/>
          <w:szCs w:val="21"/>
        </w:rPr>
        <w:t>地址：</w:t>
      </w:r>
      <w:r>
        <w:rPr>
          <w:rFonts w:hint="eastAsia" w:ascii="宋体" w:hAnsi="宋体" w:eastAsia="宋体" w:cs="宋体"/>
          <w:sz w:val="21"/>
          <w:szCs w:val="21"/>
          <w:lang w:val="zh-CN"/>
        </w:rPr>
        <w:t>龙游县龙洲街道荣昌路东道35号</w:t>
      </w:r>
      <w:r>
        <w:rPr>
          <w:rFonts w:hint="eastAsia" w:ascii="宋体" w:hAnsi="宋体" w:eastAsia="宋体" w:cs="宋体"/>
          <w:sz w:val="21"/>
          <w:szCs w:val="21"/>
        </w:rPr>
        <w:t xml:space="preserve">          </w:t>
      </w:r>
      <w:bookmarkEnd w:id="26"/>
      <w:r>
        <w:rPr>
          <w:rFonts w:hint="eastAsia" w:ascii="宋体" w:hAnsi="宋体" w:eastAsia="宋体" w:cs="宋体"/>
          <w:sz w:val="21"/>
          <w:szCs w:val="21"/>
        </w:rPr>
        <w:t xml:space="preserve">                               </w:t>
      </w:r>
    </w:p>
    <w:p>
      <w:pPr>
        <w:pageBreakBefore w:val="0"/>
        <w:kinsoku/>
        <w:wordWrap/>
        <w:overflowPunct/>
        <w:topLinePunct w:val="0"/>
        <w:autoSpaceDE/>
        <w:autoSpaceDN/>
        <w:bidi w:val="0"/>
        <w:adjustRightInd/>
        <w:spacing w:line="312" w:lineRule="auto"/>
        <w:ind w:firstLine="480"/>
        <w:textAlignment w:val="auto"/>
        <w:rPr>
          <w:rFonts w:ascii="宋体" w:hAnsi="宋体" w:eastAsia="宋体" w:cs="宋体"/>
          <w:sz w:val="21"/>
          <w:szCs w:val="21"/>
        </w:rPr>
      </w:pPr>
      <w:bookmarkStart w:id="27" w:name="OLE_LINK9"/>
      <w:r>
        <w:rPr>
          <w:rFonts w:hint="eastAsia" w:ascii="宋体" w:hAnsi="宋体" w:eastAsia="宋体" w:cs="宋体"/>
          <w:sz w:val="21"/>
          <w:szCs w:val="21"/>
        </w:rPr>
        <w:t>202</w:t>
      </w:r>
      <w:r>
        <w:rPr>
          <w:rFonts w:hint="eastAsia" w:ascii="宋体" w:hAnsi="宋体" w:eastAsia="宋体" w:cs="宋体"/>
          <w:sz w:val="21"/>
          <w:szCs w:val="21"/>
          <w:lang w:val="en-US" w:eastAsia="zh-CN"/>
        </w:rPr>
        <w:t>5</w:t>
      </w:r>
      <w:r>
        <w:rPr>
          <w:rFonts w:hint="eastAsia" w:ascii="宋体" w:hAnsi="宋体" w:eastAsia="宋体" w:cs="宋体"/>
          <w:sz w:val="21"/>
          <w:szCs w:val="21"/>
        </w:rPr>
        <w:t>年</w:t>
      </w:r>
      <w:r>
        <w:rPr>
          <w:rFonts w:hint="eastAsia" w:ascii="宋体" w:hAnsi="宋体" w:eastAsia="宋体" w:cs="宋体"/>
          <w:sz w:val="21"/>
          <w:szCs w:val="21"/>
          <w:lang w:val="en-US" w:eastAsia="zh-CN"/>
        </w:rPr>
        <w:t>03</w:t>
      </w:r>
      <w:r>
        <w:rPr>
          <w:rFonts w:hint="eastAsia" w:ascii="宋体" w:hAnsi="宋体" w:eastAsia="宋体" w:cs="宋体"/>
          <w:sz w:val="21"/>
          <w:szCs w:val="21"/>
        </w:rPr>
        <w:t>月</w:t>
      </w:r>
      <w:r>
        <w:rPr>
          <w:rFonts w:hint="eastAsia" w:ascii="宋体" w:hAnsi="宋体" w:eastAsia="宋体" w:cs="宋体"/>
          <w:sz w:val="21"/>
          <w:szCs w:val="21"/>
          <w:lang w:val="en-US" w:eastAsia="zh-CN"/>
        </w:rPr>
        <w:t>18</w:t>
      </w:r>
      <w:r>
        <w:rPr>
          <w:rFonts w:hint="eastAsia" w:ascii="宋体" w:hAnsi="宋体" w:eastAsia="宋体" w:cs="宋体"/>
          <w:sz w:val="21"/>
          <w:szCs w:val="21"/>
        </w:rPr>
        <w:t>日</w:t>
      </w:r>
      <w:bookmarkStart w:id="28" w:name="_Toc9968"/>
      <w:bookmarkStart w:id="29" w:name="_Toc3889"/>
      <w:bookmarkStart w:id="30" w:name="_Toc23908"/>
      <w:bookmarkStart w:id="31" w:name="_Toc4597"/>
      <w:bookmarkStart w:id="32" w:name="_Toc29347"/>
      <w:bookmarkStart w:id="33" w:name="_Toc356371431"/>
      <w:bookmarkStart w:id="34" w:name="_Toc359856797"/>
      <w:bookmarkStart w:id="35" w:name="_Toc19502"/>
    </w:p>
    <w:bookmarkEnd w:id="27"/>
    <w:p>
      <w:pPr>
        <w:rPr>
          <w:rFonts w:hint="eastAsia" w:ascii="宋体" w:hAnsi="宋体" w:eastAsia="宋体" w:cs="宋体"/>
          <w:b/>
          <w:bCs/>
          <w:sz w:val="44"/>
          <w:szCs w:val="44"/>
        </w:rPr>
      </w:pPr>
      <w:bookmarkStart w:id="36" w:name="_Toc14962"/>
      <w:r>
        <w:rPr>
          <w:rFonts w:hint="eastAsia" w:ascii="宋体" w:hAnsi="宋体" w:eastAsia="宋体" w:cs="宋体"/>
          <w:b/>
          <w:bCs/>
          <w:sz w:val="44"/>
          <w:szCs w:val="44"/>
        </w:rPr>
        <w:br w:type="page"/>
      </w:r>
    </w:p>
    <w:p>
      <w:pPr>
        <w:spacing w:line="240" w:lineRule="auto"/>
        <w:ind w:firstLine="0" w:firstLineChars="0"/>
        <w:jc w:val="center"/>
        <w:outlineLvl w:val="0"/>
        <w:rPr>
          <w:rFonts w:ascii="宋体" w:hAnsi="宋体" w:eastAsia="宋体" w:cs="宋体"/>
          <w:sz w:val="28"/>
          <w:szCs w:val="28"/>
        </w:rPr>
      </w:pPr>
      <w:r>
        <w:rPr>
          <w:rFonts w:hint="eastAsia" w:ascii="宋体" w:hAnsi="宋体" w:eastAsia="宋体" w:cs="宋体"/>
          <w:b/>
          <w:bCs/>
          <w:sz w:val="44"/>
          <w:szCs w:val="44"/>
        </w:rPr>
        <w:t>第二章  投标人须知前附表</w:t>
      </w:r>
      <w:bookmarkEnd w:id="36"/>
      <w:bookmarkStart w:id="37" w:name="_Toc30283"/>
      <w:bookmarkStart w:id="38" w:name="_Toc25420"/>
      <w:bookmarkStart w:id="39" w:name="_Toc16595"/>
      <w:bookmarkStart w:id="40" w:name="_Toc12268"/>
      <w:bookmarkStart w:id="41" w:name="_Toc22577"/>
      <w:bookmarkStart w:id="42" w:name="_Toc16910"/>
      <w:bookmarkStart w:id="43" w:name="_Toc3693"/>
      <w:bookmarkStart w:id="44" w:name="_Toc29990"/>
      <w:bookmarkStart w:id="45" w:name="_Toc32308"/>
      <w:bookmarkStart w:id="46" w:name="_Toc8079"/>
      <w:bookmarkStart w:id="47" w:name="_Toc496962943"/>
      <w:bookmarkStart w:id="48" w:name="_Toc2802"/>
      <w:bookmarkStart w:id="49" w:name="_Toc25293"/>
      <w:bookmarkStart w:id="50" w:name="_Toc30710"/>
      <w:bookmarkStart w:id="51" w:name="_Toc452528598"/>
    </w:p>
    <w:p>
      <w:pPr>
        <w:spacing w:line="15" w:lineRule="auto"/>
        <w:ind w:firstLine="0" w:firstLineChars="0"/>
        <w:jc w:val="center"/>
        <w:rPr>
          <w:rFonts w:ascii="宋体" w:hAnsi="宋体" w:eastAsia="宋体" w:cs="宋体"/>
          <w:sz w:val="28"/>
          <w:szCs w:val="28"/>
        </w:rPr>
      </w:pPr>
      <w:r>
        <w:rPr>
          <w:rFonts w:hint="eastAsia" w:ascii="宋体" w:hAnsi="宋体" w:eastAsia="宋体" w:cs="宋体"/>
          <w:sz w:val="28"/>
          <w:szCs w:val="28"/>
        </w:rPr>
        <w:t>一、投标人须知前附表</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tbl>
      <w:tblPr>
        <w:tblStyle w:val="37"/>
        <w:tblpPr w:leftFromText="180" w:rightFromText="180" w:vertAnchor="text" w:horzAnchor="page" w:tblpX="1510" w:tblpY="1022"/>
        <w:tblW w:w="9620" w:type="dxa"/>
        <w:tblInd w:w="0" w:type="dxa"/>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101"/>
        <w:gridCol w:w="6778"/>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41" w:type="dxa"/>
            <w:tcBorders>
              <w:top w:val="thinThickSmallGap" w:color="auto" w:sz="12" w:space="0"/>
            </w:tcBorders>
            <w:vAlign w:val="center"/>
          </w:tcPr>
          <w:p>
            <w:pPr>
              <w:tabs>
                <w:tab w:val="left" w:pos="0"/>
              </w:tabs>
              <w:autoSpaceDE w:val="0"/>
              <w:autoSpaceDN w:val="0"/>
              <w:adjustRightInd w:val="0"/>
              <w:spacing w:line="15" w:lineRule="auto"/>
              <w:ind w:firstLine="0" w:firstLineChars="0"/>
              <w:jc w:val="center"/>
              <w:rPr>
                <w:rFonts w:ascii="宋体" w:hAnsi="宋体" w:eastAsia="宋体" w:cs="宋体"/>
                <w:sz w:val="21"/>
                <w:szCs w:val="21"/>
              </w:rPr>
            </w:pPr>
            <w:bookmarkStart w:id="52" w:name="_Toc13289"/>
            <w:bookmarkStart w:id="53" w:name="_Toc27295"/>
            <w:bookmarkStart w:id="54" w:name="_Toc18810"/>
            <w:bookmarkStart w:id="55" w:name="_Toc21112"/>
            <w:bookmarkStart w:id="56" w:name="_Toc6386"/>
            <w:bookmarkStart w:id="57" w:name="_Toc4869"/>
            <w:r>
              <w:rPr>
                <w:rFonts w:hint="eastAsia" w:ascii="宋体" w:hAnsi="宋体" w:eastAsia="宋体" w:cs="宋体"/>
                <w:sz w:val="21"/>
                <w:szCs w:val="21"/>
              </w:rPr>
              <w:t>号</w:t>
            </w:r>
          </w:p>
        </w:tc>
        <w:tc>
          <w:tcPr>
            <w:tcW w:w="2101" w:type="dxa"/>
            <w:tcBorders>
              <w:top w:val="thinThickSmallGap" w:color="auto" w:sz="12" w:space="0"/>
            </w:tcBorders>
            <w:vAlign w:val="center"/>
          </w:tcPr>
          <w:p>
            <w:pPr>
              <w:tabs>
                <w:tab w:val="left" w:pos="0"/>
              </w:tabs>
              <w:autoSpaceDE w:val="0"/>
              <w:autoSpaceDN w:val="0"/>
              <w:adjustRightInd w:val="0"/>
              <w:spacing w:line="15" w:lineRule="auto"/>
              <w:ind w:firstLine="0" w:firstLineChars="0"/>
              <w:jc w:val="center"/>
              <w:rPr>
                <w:rFonts w:ascii="宋体" w:hAnsi="宋体" w:eastAsia="宋体" w:cs="宋体"/>
                <w:sz w:val="21"/>
                <w:szCs w:val="21"/>
              </w:rPr>
            </w:pPr>
            <w:r>
              <w:rPr>
                <w:rFonts w:hint="eastAsia" w:ascii="宋体" w:hAnsi="宋体" w:eastAsia="宋体" w:cs="宋体"/>
                <w:sz w:val="21"/>
                <w:szCs w:val="21"/>
              </w:rPr>
              <w:t>内  容</w:t>
            </w:r>
          </w:p>
        </w:tc>
        <w:tc>
          <w:tcPr>
            <w:tcW w:w="6778" w:type="dxa"/>
            <w:tcBorders>
              <w:top w:val="thinThickSmallGap" w:color="auto" w:sz="12" w:space="0"/>
            </w:tcBorders>
            <w:vAlign w:val="center"/>
          </w:tcPr>
          <w:p>
            <w:pPr>
              <w:tabs>
                <w:tab w:val="left" w:pos="0"/>
              </w:tabs>
              <w:spacing w:line="15" w:lineRule="auto"/>
              <w:ind w:firstLine="0" w:firstLineChars="0"/>
              <w:jc w:val="center"/>
              <w:rPr>
                <w:rFonts w:ascii="宋体" w:hAnsi="宋体" w:eastAsia="宋体" w:cs="宋体"/>
                <w:sz w:val="21"/>
                <w:szCs w:val="21"/>
              </w:rPr>
            </w:pPr>
            <w:r>
              <w:rPr>
                <w:rFonts w:hint="eastAsia" w:ascii="宋体" w:hAnsi="宋体" w:eastAsia="宋体" w:cs="宋体"/>
                <w:sz w:val="21"/>
                <w:szCs w:val="21"/>
              </w:rPr>
              <w:t>说明与要求</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41" w:type="dxa"/>
            <w:vAlign w:val="center"/>
          </w:tcPr>
          <w:p>
            <w:pPr>
              <w:tabs>
                <w:tab w:val="left" w:pos="0"/>
              </w:tabs>
              <w:autoSpaceDE w:val="0"/>
              <w:autoSpaceDN w:val="0"/>
              <w:adjustRightIn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w:t>
            </w:r>
          </w:p>
        </w:tc>
        <w:tc>
          <w:tcPr>
            <w:tcW w:w="2101" w:type="dxa"/>
            <w:vAlign w:val="center"/>
          </w:tcPr>
          <w:p>
            <w:pPr>
              <w:tabs>
                <w:tab w:val="left" w:pos="0"/>
              </w:tabs>
              <w:autoSpaceDE w:val="0"/>
              <w:autoSpaceDN w:val="0"/>
              <w:adjustRightInd w:val="0"/>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rPr>
              <w:t>采购人</w:t>
            </w:r>
          </w:p>
        </w:tc>
        <w:tc>
          <w:tcPr>
            <w:tcW w:w="6778" w:type="dxa"/>
            <w:vAlign w:val="center"/>
          </w:tcPr>
          <w:p>
            <w:pPr>
              <w:tabs>
                <w:tab w:val="left" w:pos="0"/>
              </w:tabs>
              <w:autoSpaceDE w:val="0"/>
              <w:autoSpaceDN w:val="0"/>
              <w:adjustRightInd w:val="0"/>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龙游华水农村供水发展有限公司</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41" w:type="dxa"/>
            <w:vAlign w:val="center"/>
          </w:tcPr>
          <w:p>
            <w:pPr>
              <w:tabs>
                <w:tab w:val="left" w:pos="0"/>
              </w:tabs>
              <w:autoSpaceDE w:val="0"/>
              <w:autoSpaceDN w:val="0"/>
              <w:adjustRightIn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w:t>
            </w:r>
          </w:p>
        </w:tc>
        <w:tc>
          <w:tcPr>
            <w:tcW w:w="2101" w:type="dxa"/>
            <w:vAlign w:val="center"/>
          </w:tcPr>
          <w:p>
            <w:pPr>
              <w:tabs>
                <w:tab w:val="left" w:pos="0"/>
              </w:tabs>
              <w:autoSpaceDE w:val="0"/>
              <w:autoSpaceDN w:val="0"/>
              <w:adjustRightInd w:val="0"/>
              <w:spacing w:line="240" w:lineRule="auto"/>
              <w:ind w:firstLine="0" w:firstLineChars="0"/>
              <w:jc w:val="left"/>
              <w:rPr>
                <w:rFonts w:ascii="宋体" w:hAnsi="宋体" w:eastAsia="宋体" w:cs="宋体"/>
                <w:sz w:val="21"/>
                <w:szCs w:val="21"/>
              </w:rPr>
            </w:pPr>
            <w:r>
              <w:rPr>
                <w:rFonts w:hint="eastAsia" w:ascii="宋体" w:hAnsi="宋体" w:eastAsia="宋体" w:cs="宋体"/>
                <w:sz w:val="21"/>
                <w:szCs w:val="21"/>
              </w:rPr>
              <w:t>采购项目</w:t>
            </w:r>
          </w:p>
        </w:tc>
        <w:tc>
          <w:tcPr>
            <w:tcW w:w="6778" w:type="dxa"/>
            <w:vAlign w:val="center"/>
          </w:tcPr>
          <w:p>
            <w:pPr>
              <w:tabs>
                <w:tab w:val="left" w:pos="0"/>
              </w:tabs>
              <w:autoSpaceDE w:val="0"/>
              <w:autoSpaceDN w:val="0"/>
              <w:adjustRightInd w:val="0"/>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eastAsia="zh-CN"/>
              </w:rPr>
              <w:t>2025年农村供水哈夫节采购项目</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1" w:type="dxa"/>
            <w:vAlign w:val="center"/>
          </w:tcPr>
          <w:p>
            <w:pPr>
              <w:tabs>
                <w:tab w:val="left" w:pos="0"/>
              </w:tabs>
              <w:autoSpaceDE w:val="0"/>
              <w:autoSpaceDN w:val="0"/>
              <w:adjustRightInd w:val="0"/>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2101" w:type="dxa"/>
            <w:vAlign w:val="center"/>
          </w:tcPr>
          <w:p>
            <w:pPr>
              <w:tabs>
                <w:tab w:val="left" w:pos="0"/>
              </w:tabs>
              <w:autoSpaceDE w:val="0"/>
              <w:autoSpaceDN w:val="0"/>
              <w:adjustRightInd w:val="0"/>
              <w:spacing w:line="240" w:lineRule="auto"/>
              <w:ind w:firstLine="0" w:firstLineChars="0"/>
              <w:jc w:val="left"/>
              <w:rPr>
                <w:rFonts w:ascii="宋体" w:hAnsi="宋体" w:eastAsia="宋体" w:cs="宋体"/>
                <w:sz w:val="21"/>
                <w:szCs w:val="21"/>
              </w:rPr>
            </w:pPr>
            <w:r>
              <w:rPr>
                <w:rFonts w:ascii="宋体" w:hAnsi="宋体" w:eastAsia="宋体" w:cs="宋体"/>
                <w:color w:val="000000"/>
                <w:sz w:val="21"/>
                <w:szCs w:val="21"/>
              </w:rPr>
              <w:t>采购</w:t>
            </w:r>
            <w:r>
              <w:rPr>
                <w:rFonts w:hint="eastAsia" w:ascii="宋体" w:hAnsi="宋体" w:eastAsia="宋体" w:cs="宋体"/>
                <w:color w:val="000000"/>
                <w:sz w:val="21"/>
                <w:szCs w:val="21"/>
              </w:rPr>
              <w:t>最高限价</w:t>
            </w:r>
          </w:p>
        </w:tc>
        <w:tc>
          <w:tcPr>
            <w:tcW w:w="6778" w:type="dxa"/>
            <w:vAlign w:val="center"/>
          </w:tcPr>
          <w:p>
            <w:pPr>
              <w:tabs>
                <w:tab w:val="left" w:pos="0"/>
              </w:tabs>
              <w:autoSpaceDE w:val="0"/>
              <w:autoSpaceDN w:val="0"/>
              <w:adjustRightInd w:val="0"/>
              <w:spacing w:line="240" w:lineRule="auto"/>
              <w:ind w:firstLine="0" w:firstLineChars="0"/>
              <w:rPr>
                <w:rFonts w:ascii="宋体" w:hAnsi="宋体" w:eastAsia="宋体" w:cs="宋体"/>
                <w:sz w:val="21"/>
                <w:szCs w:val="21"/>
              </w:rPr>
            </w:pPr>
            <w:r>
              <w:rPr>
                <w:rFonts w:hint="eastAsia" w:ascii="宋体" w:hAnsi="宋体" w:eastAsia="宋体" w:cs="宋体"/>
                <w:sz w:val="21"/>
                <w:szCs w:val="21"/>
                <w:lang w:val="en-US" w:eastAsia="zh-CN"/>
              </w:rPr>
              <w:t>29万元</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741" w:type="dxa"/>
            <w:vAlign w:val="center"/>
          </w:tcPr>
          <w:p>
            <w:pPr>
              <w:tabs>
                <w:tab w:val="left" w:pos="0"/>
              </w:tabs>
              <w:autoSpaceDE w:val="0"/>
              <w:autoSpaceDN w:val="0"/>
              <w:adjustRightInd w:val="0"/>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4</w:t>
            </w:r>
          </w:p>
        </w:tc>
        <w:tc>
          <w:tcPr>
            <w:tcW w:w="2101" w:type="dxa"/>
            <w:vAlign w:val="center"/>
          </w:tcPr>
          <w:p>
            <w:pPr>
              <w:widowControl/>
              <w:ind w:firstLine="0" w:firstLineChars="0"/>
              <w:jc w:val="left"/>
              <w:rPr>
                <w:rFonts w:ascii="宋体" w:hAnsi="宋体" w:eastAsia="宋体" w:cs="宋体"/>
                <w:sz w:val="21"/>
                <w:szCs w:val="21"/>
              </w:rPr>
            </w:pPr>
            <w:r>
              <w:rPr>
                <w:rFonts w:ascii="仿宋" w:hAnsi="仿宋" w:cs="仿宋"/>
                <w:color w:val="000000"/>
                <w:kern w:val="0"/>
                <w:sz w:val="21"/>
                <w:szCs w:val="21"/>
              </w:rPr>
              <w:t>▲</w:t>
            </w:r>
            <w:r>
              <w:rPr>
                <w:rFonts w:hint="eastAsia" w:ascii="宋体" w:hAnsi="宋体" w:eastAsia="宋体" w:cs="宋体"/>
                <w:sz w:val="21"/>
                <w:szCs w:val="21"/>
              </w:rPr>
              <w:t>投标报价及费用</w:t>
            </w:r>
          </w:p>
        </w:tc>
        <w:tc>
          <w:tcPr>
            <w:tcW w:w="6778" w:type="dxa"/>
            <w:vAlign w:val="center"/>
          </w:tcPr>
          <w:p>
            <w:pPr>
              <w:pStyle w:val="19"/>
              <w:snapToGrid w:val="0"/>
              <w:spacing w:line="360" w:lineRule="exact"/>
              <w:ind w:firstLine="0" w:firstLineChars="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本次报价为一次性报价，报价币种为人民币，中标（成交）供应商的投标报价是履行合同的最终价格，报价应包括完成合同所涉及的全部内容，包含但不仅限于采购清单内所有所需货物的设计与优化（定制类产品）、制造、运输、安装、调试、验收配合、项目管理费、第三方检测、技术培训、售后服务费用以及其他伴随服务等全部工作所需的一切费用，以及中标后中标单位因本项目合同履行产生的税金、人工、管理、合理利润、采购代理费等一切成本及费用（以上费用未单列的视为包含在单价中）。</w:t>
            </w:r>
          </w:p>
          <w:p>
            <w:pPr>
              <w:tabs>
                <w:tab w:val="left" w:pos="0"/>
              </w:tabs>
              <w:autoSpaceDE w:val="0"/>
              <w:autoSpaceDN w:val="0"/>
              <w:adjustRightInd w:val="0"/>
              <w:spacing w:line="360" w:lineRule="exact"/>
              <w:ind w:firstLine="0" w:firstLineChars="0"/>
              <w:rPr>
                <w:rFonts w:ascii="宋体" w:hAnsi="宋体" w:eastAsia="宋体" w:cs="宋体"/>
                <w:sz w:val="21"/>
                <w:szCs w:val="21"/>
              </w:rPr>
            </w:pPr>
            <w:r>
              <w:rPr>
                <w:rFonts w:hint="eastAsia" w:ascii="宋体" w:hAnsi="宋体" w:eastAsia="宋体" w:cs="宋体"/>
                <w:kern w:val="2"/>
                <w:sz w:val="21"/>
                <w:szCs w:val="21"/>
                <w:lang w:val="en-US" w:eastAsia="zh-CN" w:bidi="ar-SA"/>
              </w:rPr>
              <w:t>2、不论投标结果如何，投标人均应自行承担所有与投标有关的全部费用。</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1" w:type="dxa"/>
            <w:vAlign w:val="center"/>
          </w:tcPr>
          <w:p>
            <w:pPr>
              <w:tabs>
                <w:tab w:val="left" w:pos="0"/>
              </w:tabs>
              <w:autoSpaceDE w:val="0"/>
              <w:autoSpaceDN w:val="0"/>
              <w:adjustRightInd w:val="0"/>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5</w:t>
            </w:r>
          </w:p>
        </w:tc>
        <w:tc>
          <w:tcPr>
            <w:tcW w:w="2101" w:type="dxa"/>
            <w:vAlign w:val="center"/>
          </w:tcPr>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报名地点</w:t>
            </w:r>
          </w:p>
        </w:tc>
        <w:tc>
          <w:tcPr>
            <w:tcW w:w="6778" w:type="dxa"/>
            <w:vAlign w:val="center"/>
          </w:tcPr>
          <w:p>
            <w:pPr>
              <w:tabs>
                <w:tab w:val="left" w:pos="0"/>
              </w:tabs>
              <w:autoSpaceDE w:val="0"/>
              <w:autoSpaceDN w:val="0"/>
              <w:adjustRightInd w:val="0"/>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详见采购公告</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41" w:type="dxa"/>
            <w:vAlign w:val="center"/>
          </w:tcPr>
          <w:p>
            <w:pPr>
              <w:pStyle w:val="55"/>
              <w:snapToGrid w:val="0"/>
              <w:spacing w:beforeAutospacing="0" w:afterAutospacing="0" w:line="360" w:lineRule="exact"/>
              <w:ind w:firstLine="0" w:firstLineChars="0"/>
              <w:jc w:val="center"/>
              <w:rPr>
                <w:rFonts w:eastAsia="宋体"/>
                <w:sz w:val="21"/>
                <w:szCs w:val="21"/>
              </w:rPr>
            </w:pPr>
            <w:r>
              <w:rPr>
                <w:rFonts w:hint="eastAsia" w:eastAsia="宋体"/>
                <w:color w:val="000000"/>
                <w:sz w:val="21"/>
                <w:szCs w:val="21"/>
              </w:rPr>
              <w:t>6</w:t>
            </w:r>
          </w:p>
        </w:tc>
        <w:tc>
          <w:tcPr>
            <w:tcW w:w="2101" w:type="dxa"/>
            <w:vAlign w:val="center"/>
          </w:tcPr>
          <w:p>
            <w:pPr>
              <w:pStyle w:val="55"/>
              <w:snapToGrid w:val="0"/>
              <w:spacing w:beforeAutospacing="0" w:afterAutospacing="0" w:line="360" w:lineRule="exact"/>
              <w:ind w:firstLine="0" w:firstLineChars="0"/>
              <w:rPr>
                <w:rFonts w:eastAsia="宋体"/>
                <w:sz w:val="21"/>
                <w:szCs w:val="21"/>
              </w:rPr>
            </w:pPr>
            <w:r>
              <w:rPr>
                <w:rFonts w:hint="eastAsia" w:eastAsia="宋体"/>
                <w:color w:val="000000"/>
                <w:sz w:val="21"/>
                <w:szCs w:val="21"/>
              </w:rPr>
              <w:t>资金落实情况</w:t>
            </w:r>
          </w:p>
        </w:tc>
        <w:tc>
          <w:tcPr>
            <w:tcW w:w="6778" w:type="dxa"/>
            <w:vAlign w:val="center"/>
          </w:tcPr>
          <w:p>
            <w:pPr>
              <w:snapToGrid w:val="0"/>
              <w:spacing w:line="360" w:lineRule="exact"/>
              <w:ind w:firstLine="0" w:firstLineChars="0"/>
              <w:rPr>
                <w:rFonts w:ascii="宋体" w:hAnsi="宋体" w:eastAsia="宋体" w:cs="宋体"/>
                <w:sz w:val="21"/>
                <w:szCs w:val="21"/>
              </w:rPr>
            </w:pPr>
            <w:r>
              <w:rPr>
                <w:rFonts w:hint="eastAsia" w:ascii="宋体" w:hAnsi="宋体" w:eastAsia="宋体" w:cs="宋体"/>
                <w:kern w:val="0"/>
                <w:sz w:val="21"/>
                <w:szCs w:val="21"/>
              </w:rPr>
              <w:t>已落实</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Align w:val="center"/>
          </w:tcPr>
          <w:p>
            <w:pPr>
              <w:pStyle w:val="55"/>
              <w:snapToGrid w:val="0"/>
              <w:spacing w:beforeAutospacing="0" w:afterAutospacing="0" w:line="360" w:lineRule="exact"/>
              <w:ind w:firstLine="0" w:firstLineChars="0"/>
              <w:jc w:val="center"/>
              <w:rPr>
                <w:rFonts w:eastAsia="宋体"/>
                <w:sz w:val="21"/>
                <w:szCs w:val="21"/>
              </w:rPr>
            </w:pPr>
            <w:r>
              <w:rPr>
                <w:rFonts w:hint="eastAsia" w:eastAsia="宋体"/>
                <w:sz w:val="21"/>
                <w:szCs w:val="21"/>
              </w:rPr>
              <w:t>7</w:t>
            </w:r>
          </w:p>
        </w:tc>
        <w:tc>
          <w:tcPr>
            <w:tcW w:w="2101" w:type="dxa"/>
            <w:vAlign w:val="center"/>
          </w:tcPr>
          <w:p>
            <w:pPr>
              <w:pStyle w:val="55"/>
              <w:snapToGrid w:val="0"/>
              <w:spacing w:beforeAutospacing="0" w:afterAutospacing="0" w:line="360" w:lineRule="exact"/>
              <w:ind w:firstLine="0" w:firstLineChars="0"/>
              <w:rPr>
                <w:rFonts w:eastAsia="宋体"/>
                <w:sz w:val="21"/>
                <w:szCs w:val="21"/>
              </w:rPr>
            </w:pPr>
            <w:r>
              <w:rPr>
                <w:rFonts w:hint="eastAsia" w:eastAsia="宋体"/>
                <w:color w:val="000000"/>
                <w:sz w:val="21"/>
                <w:szCs w:val="21"/>
              </w:rPr>
              <w:t>采购内容</w:t>
            </w:r>
          </w:p>
        </w:tc>
        <w:tc>
          <w:tcPr>
            <w:tcW w:w="6778" w:type="dxa"/>
            <w:vAlign w:val="center"/>
          </w:tcPr>
          <w:p>
            <w:pPr>
              <w:pStyle w:val="55"/>
              <w:snapToGrid w:val="0"/>
              <w:spacing w:beforeAutospacing="0" w:afterAutospacing="0" w:line="360" w:lineRule="exact"/>
              <w:ind w:firstLine="0" w:firstLineChars="0"/>
              <w:rPr>
                <w:rFonts w:eastAsia="宋体"/>
                <w:sz w:val="21"/>
                <w:szCs w:val="21"/>
              </w:rPr>
            </w:pPr>
            <w:r>
              <w:rPr>
                <w:rFonts w:hint="eastAsia" w:eastAsia="宋体"/>
                <w:sz w:val="21"/>
                <w:szCs w:val="21"/>
              </w:rPr>
              <w:t>详见第三章采购内容及要求</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1" w:type="dxa"/>
            <w:vAlign w:val="center"/>
          </w:tcPr>
          <w:p>
            <w:pPr>
              <w:pStyle w:val="55"/>
              <w:snapToGrid w:val="0"/>
              <w:spacing w:beforeAutospacing="0" w:afterAutospacing="0" w:line="360" w:lineRule="exact"/>
              <w:ind w:firstLine="0" w:firstLineChars="0"/>
              <w:jc w:val="center"/>
              <w:rPr>
                <w:rFonts w:hint="eastAsia" w:eastAsia="宋体"/>
                <w:color w:val="000000"/>
                <w:sz w:val="21"/>
                <w:szCs w:val="21"/>
              </w:rPr>
            </w:pPr>
            <w:r>
              <w:rPr>
                <w:rFonts w:hint="eastAsia" w:eastAsia="宋体"/>
                <w:color w:val="000000"/>
                <w:sz w:val="21"/>
                <w:szCs w:val="21"/>
              </w:rPr>
              <w:t>8</w:t>
            </w:r>
          </w:p>
        </w:tc>
        <w:tc>
          <w:tcPr>
            <w:tcW w:w="2101" w:type="dxa"/>
            <w:vAlign w:val="center"/>
          </w:tcPr>
          <w:p>
            <w:pPr>
              <w:pStyle w:val="55"/>
              <w:snapToGrid w:val="0"/>
              <w:spacing w:beforeAutospacing="0" w:afterAutospacing="0" w:line="360" w:lineRule="exact"/>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供货期</w:t>
            </w:r>
          </w:p>
        </w:tc>
        <w:tc>
          <w:tcPr>
            <w:tcW w:w="6778" w:type="dxa"/>
            <w:vAlign w:val="center"/>
          </w:tcPr>
          <w:p>
            <w:pPr>
              <w:pStyle w:val="55"/>
              <w:snapToGrid w:val="0"/>
              <w:spacing w:beforeAutospacing="0" w:afterAutospacing="0" w:line="360" w:lineRule="exact"/>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1年或本次预算金额用完</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741" w:type="dxa"/>
            <w:vAlign w:val="center"/>
          </w:tcPr>
          <w:p>
            <w:pPr>
              <w:pStyle w:val="55"/>
              <w:snapToGrid w:val="0"/>
              <w:spacing w:beforeAutospacing="0" w:afterAutospacing="0" w:line="360" w:lineRule="exact"/>
              <w:ind w:firstLine="0" w:firstLineChars="0"/>
              <w:jc w:val="center"/>
              <w:rPr>
                <w:rFonts w:eastAsia="宋体"/>
                <w:sz w:val="21"/>
                <w:szCs w:val="21"/>
              </w:rPr>
            </w:pPr>
            <w:r>
              <w:rPr>
                <w:rFonts w:hint="eastAsia" w:eastAsia="宋体"/>
                <w:color w:val="000000"/>
                <w:sz w:val="21"/>
                <w:szCs w:val="21"/>
              </w:rPr>
              <w:t>9</w:t>
            </w:r>
          </w:p>
        </w:tc>
        <w:tc>
          <w:tcPr>
            <w:tcW w:w="2101" w:type="dxa"/>
            <w:vAlign w:val="center"/>
          </w:tcPr>
          <w:p>
            <w:pPr>
              <w:pStyle w:val="55"/>
              <w:snapToGrid w:val="0"/>
              <w:spacing w:beforeAutospacing="0" w:afterAutospacing="0" w:line="360" w:lineRule="exact"/>
              <w:ind w:firstLine="0" w:firstLineChars="0"/>
              <w:rPr>
                <w:rFonts w:eastAsia="宋体"/>
                <w:sz w:val="21"/>
                <w:szCs w:val="21"/>
              </w:rPr>
            </w:pPr>
            <w:r>
              <w:rPr>
                <w:rFonts w:hint="eastAsia" w:eastAsia="宋体"/>
                <w:sz w:val="21"/>
                <w:szCs w:val="21"/>
              </w:rPr>
              <w:t>投标人资格要求</w:t>
            </w:r>
          </w:p>
        </w:tc>
        <w:tc>
          <w:tcPr>
            <w:tcW w:w="6778" w:type="dxa"/>
            <w:vAlign w:val="center"/>
          </w:tcPr>
          <w:p>
            <w:pPr>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详见采购公告</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41" w:type="dxa"/>
            <w:vAlign w:val="center"/>
          </w:tcPr>
          <w:p>
            <w:pPr>
              <w:pStyle w:val="55"/>
              <w:snapToGrid w:val="0"/>
              <w:spacing w:beforeAutospacing="0" w:afterAutospacing="0" w:line="360" w:lineRule="exact"/>
              <w:ind w:firstLine="0" w:firstLineChars="0"/>
              <w:jc w:val="center"/>
              <w:rPr>
                <w:rFonts w:eastAsia="宋体"/>
                <w:sz w:val="21"/>
                <w:szCs w:val="21"/>
              </w:rPr>
            </w:pPr>
            <w:r>
              <w:rPr>
                <w:rFonts w:hint="eastAsia" w:eastAsia="宋体"/>
                <w:color w:val="000000"/>
                <w:sz w:val="21"/>
                <w:szCs w:val="21"/>
              </w:rPr>
              <w:t>10</w:t>
            </w:r>
          </w:p>
        </w:tc>
        <w:tc>
          <w:tcPr>
            <w:tcW w:w="2101" w:type="dxa"/>
            <w:vAlign w:val="center"/>
          </w:tcPr>
          <w:p>
            <w:pPr>
              <w:pStyle w:val="55"/>
              <w:snapToGrid w:val="0"/>
              <w:spacing w:beforeAutospacing="0" w:afterAutospacing="0" w:line="360" w:lineRule="exact"/>
              <w:ind w:firstLine="0" w:firstLineChars="0"/>
              <w:rPr>
                <w:rFonts w:eastAsia="宋体"/>
                <w:sz w:val="21"/>
                <w:szCs w:val="21"/>
              </w:rPr>
            </w:pPr>
            <w:r>
              <w:rPr>
                <w:rFonts w:hint="eastAsia" w:eastAsia="宋体"/>
                <w:color w:val="000000"/>
                <w:sz w:val="21"/>
                <w:szCs w:val="21"/>
              </w:rPr>
              <w:t>是否接受联合体</w:t>
            </w:r>
          </w:p>
        </w:tc>
        <w:tc>
          <w:tcPr>
            <w:tcW w:w="6778" w:type="dxa"/>
            <w:vAlign w:val="center"/>
          </w:tcPr>
          <w:p>
            <w:pPr>
              <w:snapToGrid w:val="0"/>
              <w:spacing w:line="360" w:lineRule="exact"/>
              <w:ind w:firstLine="0" w:firstLineChars="0"/>
              <w:rPr>
                <w:rFonts w:ascii="宋体" w:hAnsi="宋体" w:eastAsia="宋体" w:cs="宋体"/>
                <w:sz w:val="21"/>
                <w:szCs w:val="21"/>
              </w:rPr>
            </w:pPr>
            <w:r>
              <w:rPr>
                <w:rFonts w:hint="eastAsia" w:ascii="宋体" w:hAnsi="宋体" w:eastAsia="宋体" w:cs="宋体"/>
                <w:color w:val="000000"/>
                <w:sz w:val="21"/>
                <w:szCs w:val="21"/>
              </w:rPr>
              <w:t>不接受</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41" w:type="dxa"/>
            <w:vAlign w:val="center"/>
          </w:tcPr>
          <w:p>
            <w:pPr>
              <w:snapToGrid w:val="0"/>
              <w:spacing w:line="360" w:lineRule="exact"/>
              <w:ind w:firstLine="0" w:firstLineChars="0"/>
              <w:jc w:val="center"/>
              <w:rPr>
                <w:rFonts w:ascii="宋体" w:hAnsi="宋体" w:eastAsia="宋体" w:cs="宋体"/>
                <w:sz w:val="21"/>
                <w:szCs w:val="21"/>
              </w:rPr>
            </w:pPr>
            <w:r>
              <w:rPr>
                <w:rFonts w:hint="eastAsia" w:ascii="宋体" w:hAnsi="宋体" w:eastAsia="宋体" w:cs="宋体"/>
                <w:color w:val="000000"/>
                <w:sz w:val="21"/>
                <w:szCs w:val="21"/>
              </w:rPr>
              <w:t>11</w:t>
            </w:r>
          </w:p>
        </w:tc>
        <w:tc>
          <w:tcPr>
            <w:tcW w:w="2101" w:type="dxa"/>
            <w:vAlign w:val="center"/>
          </w:tcPr>
          <w:p>
            <w:pPr>
              <w:snapToGri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踏勘现场</w:t>
            </w:r>
          </w:p>
        </w:tc>
        <w:tc>
          <w:tcPr>
            <w:tcW w:w="6778" w:type="dxa"/>
            <w:vAlign w:val="center"/>
          </w:tcPr>
          <w:p>
            <w:pPr>
              <w:snapToGrid w:val="0"/>
              <w:spacing w:line="360" w:lineRule="exact"/>
              <w:ind w:firstLine="0" w:firstLineChars="0"/>
              <w:rPr>
                <w:rFonts w:ascii="宋体" w:hAnsi="宋体" w:eastAsia="宋体" w:cs="宋体"/>
                <w:sz w:val="21"/>
                <w:szCs w:val="21"/>
              </w:rPr>
            </w:pPr>
            <w:r>
              <w:rPr>
                <w:rFonts w:hint="eastAsia" w:ascii="宋体" w:hAnsi="宋体" w:eastAsia="宋体" w:cs="宋体"/>
                <w:color w:val="000000"/>
                <w:sz w:val="21"/>
                <w:szCs w:val="21"/>
              </w:rPr>
              <w:t>不组</w:t>
            </w:r>
            <w:r>
              <w:rPr>
                <w:rFonts w:hint="eastAsia" w:ascii="宋体" w:hAnsi="宋体" w:eastAsia="宋体" w:cs="宋体"/>
                <w:sz w:val="21"/>
                <w:szCs w:val="21"/>
              </w:rPr>
              <w:t>织</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41" w:type="dxa"/>
            <w:vAlign w:val="center"/>
          </w:tcPr>
          <w:p>
            <w:pPr>
              <w:tabs>
                <w:tab w:val="left" w:pos="0"/>
              </w:tabs>
              <w:autoSpaceDE w:val="0"/>
              <w:autoSpaceDN w:val="0"/>
              <w:adjustRightInd w:val="0"/>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12</w:t>
            </w:r>
          </w:p>
        </w:tc>
        <w:tc>
          <w:tcPr>
            <w:tcW w:w="2101" w:type="dxa"/>
            <w:vAlign w:val="center"/>
          </w:tcPr>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投标有效期</w:t>
            </w:r>
          </w:p>
        </w:tc>
        <w:tc>
          <w:tcPr>
            <w:tcW w:w="6778" w:type="dxa"/>
            <w:vAlign w:val="center"/>
          </w:tcPr>
          <w:p>
            <w:pPr>
              <w:tabs>
                <w:tab w:val="left" w:pos="0"/>
              </w:tabs>
              <w:autoSpaceDE w:val="0"/>
              <w:autoSpaceDN w:val="0"/>
              <w:adjustRightInd w:val="0"/>
              <w:spacing w:line="360" w:lineRule="exact"/>
              <w:ind w:firstLine="0" w:firstLineChars="0"/>
              <w:rPr>
                <w:rFonts w:ascii="宋体" w:hAnsi="宋体" w:eastAsia="宋体" w:cs="宋体"/>
                <w:sz w:val="21"/>
                <w:szCs w:val="21"/>
              </w:rPr>
            </w:pPr>
            <w:r>
              <w:rPr>
                <w:rFonts w:hint="eastAsia" w:ascii="宋体" w:hAnsi="宋体" w:eastAsia="宋体" w:cs="宋体"/>
                <w:sz w:val="21"/>
                <w:szCs w:val="21"/>
              </w:rPr>
              <w:t>自投标人递交投标文件截止之日起计算90天</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41" w:type="dxa"/>
            <w:vAlign w:val="center"/>
          </w:tcPr>
          <w:p>
            <w:pPr>
              <w:tabs>
                <w:tab w:val="left" w:pos="0"/>
              </w:tabs>
              <w:autoSpaceDE w:val="0"/>
              <w:autoSpaceDN w:val="0"/>
              <w:adjustRightInd w:val="0"/>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13</w:t>
            </w:r>
          </w:p>
        </w:tc>
        <w:tc>
          <w:tcPr>
            <w:tcW w:w="2101" w:type="dxa"/>
            <w:vAlign w:val="center"/>
          </w:tcPr>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开启投标文件地点</w:t>
            </w:r>
          </w:p>
        </w:tc>
        <w:tc>
          <w:tcPr>
            <w:tcW w:w="6778" w:type="dxa"/>
            <w:vAlign w:val="center"/>
          </w:tcPr>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 xml:space="preserve">龙游县水务集团有限公司一楼开标室  </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404" w:hRule="atLeast"/>
        </w:trPr>
        <w:tc>
          <w:tcPr>
            <w:tcW w:w="741" w:type="dxa"/>
            <w:vAlign w:val="center"/>
          </w:tcPr>
          <w:p>
            <w:pPr>
              <w:tabs>
                <w:tab w:val="left" w:pos="0"/>
              </w:tabs>
              <w:autoSpaceDE w:val="0"/>
              <w:autoSpaceDN w:val="0"/>
              <w:adjustRightInd w:val="0"/>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14</w:t>
            </w:r>
          </w:p>
        </w:tc>
        <w:tc>
          <w:tcPr>
            <w:tcW w:w="2101" w:type="dxa"/>
            <w:vAlign w:val="center"/>
          </w:tcPr>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投标文件份数</w:t>
            </w:r>
          </w:p>
        </w:tc>
        <w:tc>
          <w:tcPr>
            <w:tcW w:w="6778" w:type="dxa"/>
            <w:vAlign w:val="center"/>
          </w:tcPr>
          <w:p>
            <w:pPr>
              <w:pStyle w:val="19"/>
              <w:snapToGrid w:val="0"/>
              <w:spacing w:line="360" w:lineRule="exact"/>
              <w:ind w:firstLine="0" w:firstLineChars="0"/>
              <w:rPr>
                <w:rFonts w:hAnsi="宋体"/>
                <w:color w:val="auto"/>
                <w:sz w:val="21"/>
                <w:szCs w:val="21"/>
              </w:rPr>
            </w:pPr>
            <w:r>
              <w:rPr>
                <w:rFonts w:ascii="Arial" w:hAnsi="Arial" w:cs="Arial"/>
                <w:color w:val="auto"/>
                <w:sz w:val="21"/>
                <w:szCs w:val="21"/>
                <w:lang w:val="zh-CN"/>
              </w:rPr>
              <w:t>资格审查文件</w:t>
            </w:r>
            <w:r>
              <w:rPr>
                <w:rFonts w:hint="eastAsia" w:hAnsi="宋体"/>
                <w:color w:val="auto"/>
                <w:sz w:val="21"/>
                <w:szCs w:val="21"/>
              </w:rPr>
              <w:t>一份正本，</w:t>
            </w:r>
            <w:r>
              <w:rPr>
                <w:rFonts w:hint="eastAsia" w:hAnsi="宋体"/>
                <w:color w:val="auto"/>
                <w:sz w:val="21"/>
                <w:szCs w:val="21"/>
                <w:lang w:val="en-US" w:eastAsia="zh-CN"/>
              </w:rPr>
              <w:t>二</w:t>
            </w:r>
            <w:r>
              <w:rPr>
                <w:rFonts w:hint="eastAsia" w:hAnsi="宋体"/>
                <w:color w:val="auto"/>
                <w:sz w:val="21"/>
                <w:szCs w:val="21"/>
              </w:rPr>
              <w:t>份副本（正、副本分别装订，密封一袋）</w:t>
            </w:r>
          </w:p>
          <w:p>
            <w:pPr>
              <w:pStyle w:val="19"/>
              <w:snapToGrid w:val="0"/>
              <w:spacing w:line="360" w:lineRule="exact"/>
              <w:ind w:firstLine="0" w:firstLineChars="0"/>
              <w:rPr>
                <w:rFonts w:hAnsi="宋体"/>
                <w:color w:val="auto"/>
                <w:sz w:val="21"/>
                <w:szCs w:val="21"/>
              </w:rPr>
            </w:pPr>
            <w:r>
              <w:rPr>
                <w:rFonts w:hint="eastAsia" w:hAnsi="宋体"/>
                <w:color w:val="auto"/>
                <w:sz w:val="21"/>
                <w:szCs w:val="21"/>
              </w:rPr>
              <w:t>商务技术文件一份正本，</w:t>
            </w:r>
            <w:r>
              <w:rPr>
                <w:rFonts w:hint="eastAsia" w:hAnsi="宋体"/>
                <w:color w:val="auto"/>
                <w:sz w:val="21"/>
                <w:szCs w:val="21"/>
                <w:lang w:val="en-US" w:eastAsia="zh-CN"/>
              </w:rPr>
              <w:t>二</w:t>
            </w:r>
            <w:r>
              <w:rPr>
                <w:rFonts w:hint="eastAsia" w:hAnsi="宋体"/>
                <w:color w:val="auto"/>
                <w:sz w:val="21"/>
                <w:szCs w:val="21"/>
              </w:rPr>
              <w:t>份副本（正、副本分别装订，密封一袋）</w:t>
            </w:r>
          </w:p>
          <w:p>
            <w:pPr>
              <w:pStyle w:val="19"/>
              <w:snapToGrid w:val="0"/>
              <w:spacing w:line="360" w:lineRule="exact"/>
              <w:ind w:firstLine="0" w:firstLineChars="0"/>
              <w:rPr>
                <w:rFonts w:hAnsi="宋体"/>
                <w:color w:val="auto"/>
                <w:sz w:val="21"/>
                <w:szCs w:val="21"/>
              </w:rPr>
            </w:pPr>
            <w:r>
              <w:rPr>
                <w:rFonts w:hint="eastAsia" w:hAnsi="宋体"/>
                <w:color w:val="auto"/>
                <w:sz w:val="21"/>
                <w:szCs w:val="21"/>
              </w:rPr>
              <w:t>商务报价文件一份正本，</w:t>
            </w:r>
            <w:r>
              <w:rPr>
                <w:rFonts w:hint="eastAsia" w:hAnsi="宋体"/>
                <w:color w:val="auto"/>
                <w:sz w:val="21"/>
                <w:szCs w:val="21"/>
                <w:lang w:val="en-US" w:eastAsia="zh-CN"/>
              </w:rPr>
              <w:t>二</w:t>
            </w:r>
            <w:r>
              <w:rPr>
                <w:rFonts w:hint="eastAsia" w:hAnsi="宋体"/>
                <w:color w:val="auto"/>
                <w:sz w:val="21"/>
                <w:szCs w:val="21"/>
              </w:rPr>
              <w:t>份副本（正、副本分别装订，密封一袋）</w:t>
            </w:r>
          </w:p>
          <w:p>
            <w:pPr>
              <w:pStyle w:val="19"/>
              <w:snapToGrid w:val="0"/>
              <w:spacing w:line="320" w:lineRule="exact"/>
              <w:ind w:firstLine="210" w:firstLineChars="100"/>
              <w:rPr>
                <w:sz w:val="21"/>
                <w:szCs w:val="21"/>
              </w:rPr>
            </w:pPr>
            <w:r>
              <w:rPr>
                <w:rFonts w:hint="eastAsia" w:ascii="宋体" w:hAnsi="宋体" w:eastAsia="宋体" w:cs="宋体"/>
                <w:color w:val="auto"/>
                <w:sz w:val="21"/>
                <w:szCs w:val="21"/>
                <w:lang w:val="zh-CN"/>
              </w:rPr>
              <w:t>正本和副本的封面上应当清楚地标记“正本”或者“副本”字样；正本和副本不一致时，以正本为准。副本可采用正本复印，</w:t>
            </w:r>
            <w:r>
              <w:rPr>
                <w:rFonts w:hint="eastAsia" w:ascii="宋体" w:hAnsi="宋体" w:eastAsia="宋体" w:cs="宋体"/>
                <w:color w:val="auto"/>
                <w:sz w:val="21"/>
                <w:szCs w:val="21"/>
              </w:rPr>
              <w:t>各部分每册采用左侧书本装订方式装订，装订应牢固、不易拆散和换页，不得采用活页装订。</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1" w:type="dxa"/>
            <w:vAlign w:val="center"/>
          </w:tcPr>
          <w:p>
            <w:pPr>
              <w:tabs>
                <w:tab w:val="left" w:pos="0"/>
              </w:tabs>
              <w:autoSpaceDE w:val="0"/>
              <w:autoSpaceDN w:val="0"/>
              <w:adjustRightInd w:val="0"/>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15</w:t>
            </w:r>
          </w:p>
        </w:tc>
        <w:tc>
          <w:tcPr>
            <w:tcW w:w="2101" w:type="dxa"/>
            <w:vAlign w:val="center"/>
          </w:tcPr>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投标文件递交</w:t>
            </w:r>
          </w:p>
        </w:tc>
        <w:tc>
          <w:tcPr>
            <w:tcW w:w="6778" w:type="dxa"/>
            <w:vAlign w:val="center"/>
          </w:tcPr>
          <w:p>
            <w:pPr>
              <w:tabs>
                <w:tab w:val="left" w:pos="0"/>
              </w:tabs>
              <w:autoSpaceDE w:val="0"/>
              <w:autoSpaceDN w:val="0"/>
              <w:adjustRightInd w:val="0"/>
              <w:spacing w:line="360" w:lineRule="exact"/>
              <w:ind w:firstLine="0" w:firstLineChars="0"/>
              <w:rPr>
                <w:rFonts w:ascii="宋体" w:hAnsi="宋体" w:eastAsia="宋体" w:cs="宋体"/>
                <w:sz w:val="21"/>
                <w:szCs w:val="21"/>
              </w:rPr>
            </w:pPr>
            <w:r>
              <w:rPr>
                <w:rFonts w:hint="eastAsia" w:ascii="宋体" w:hAnsi="Courier New" w:eastAsia="宋体" w:cs="宋体"/>
                <w:kern w:val="2"/>
                <w:sz w:val="21"/>
                <w:szCs w:val="21"/>
                <w:lang w:val="zh-CN" w:eastAsia="zh-CN" w:bidi="ar-SA"/>
              </w:rPr>
              <w:t>详见采购公告</w:t>
            </w:r>
            <w:bookmarkStart w:id="445" w:name="_GoBack"/>
            <w:bookmarkEnd w:id="445"/>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1" w:type="dxa"/>
            <w:vAlign w:val="center"/>
          </w:tcPr>
          <w:p>
            <w:pPr>
              <w:tabs>
                <w:tab w:val="left" w:pos="0"/>
              </w:tabs>
              <w:autoSpaceDE w:val="0"/>
              <w:autoSpaceDN w:val="0"/>
              <w:adjustRightInd w:val="0"/>
              <w:spacing w:line="360" w:lineRule="exact"/>
              <w:ind w:firstLine="0" w:firstLineChars="0"/>
              <w:jc w:val="center"/>
              <w:rPr>
                <w:rFonts w:ascii="宋体" w:hAnsi="宋体" w:eastAsia="宋体" w:cs="宋体"/>
                <w:sz w:val="21"/>
                <w:szCs w:val="21"/>
              </w:rPr>
            </w:pPr>
            <w:bookmarkStart w:id="58" w:name="_Toc30606"/>
            <w:bookmarkStart w:id="59" w:name="_Toc3193"/>
            <w:bookmarkStart w:id="60" w:name="_Toc11810"/>
            <w:bookmarkStart w:id="61" w:name="_Toc356371433"/>
            <w:bookmarkStart w:id="62" w:name="_Toc17589"/>
            <w:bookmarkStart w:id="63" w:name="_Toc20494"/>
            <w:bookmarkStart w:id="64" w:name="_Toc359856798"/>
            <w:bookmarkStart w:id="65" w:name="_Toc1283"/>
            <w:r>
              <w:rPr>
                <w:rFonts w:hint="eastAsia" w:ascii="宋体" w:hAnsi="宋体" w:eastAsia="宋体" w:cs="宋体"/>
                <w:sz w:val="21"/>
                <w:szCs w:val="21"/>
              </w:rPr>
              <w:t>16</w:t>
            </w:r>
          </w:p>
        </w:tc>
        <w:tc>
          <w:tcPr>
            <w:tcW w:w="2101" w:type="dxa"/>
            <w:vAlign w:val="center"/>
          </w:tcPr>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开标时间</w:t>
            </w:r>
          </w:p>
        </w:tc>
        <w:tc>
          <w:tcPr>
            <w:tcW w:w="6778" w:type="dxa"/>
            <w:vAlign w:val="center"/>
          </w:tcPr>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highlight w:val="none"/>
              </w:rPr>
              <w:t>202</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年</w:t>
            </w:r>
            <w:r>
              <w:rPr>
                <w:rFonts w:hint="eastAsia" w:ascii="宋体" w:hAnsi="宋体" w:eastAsia="宋体" w:cs="宋体"/>
                <w:sz w:val="21"/>
                <w:szCs w:val="21"/>
                <w:highlight w:val="yellow"/>
                <w:lang w:val="en-US" w:eastAsia="zh-CN"/>
              </w:rPr>
              <w:t>03</w:t>
            </w:r>
            <w:r>
              <w:rPr>
                <w:rFonts w:hint="eastAsia" w:ascii="宋体" w:hAnsi="宋体" w:eastAsia="宋体" w:cs="宋体"/>
                <w:sz w:val="21"/>
                <w:szCs w:val="21"/>
                <w:highlight w:val="yellow"/>
              </w:rPr>
              <w:t>月</w:t>
            </w:r>
            <w:r>
              <w:rPr>
                <w:rFonts w:hint="eastAsia" w:ascii="宋体" w:hAnsi="宋体" w:eastAsia="宋体" w:cs="宋体"/>
                <w:sz w:val="21"/>
                <w:szCs w:val="21"/>
                <w:highlight w:val="yellow"/>
                <w:lang w:val="en-US" w:eastAsia="zh-CN"/>
              </w:rPr>
              <w:t>21</w:t>
            </w:r>
            <w:r>
              <w:rPr>
                <w:rFonts w:hint="eastAsia" w:ascii="宋体" w:hAnsi="宋体" w:eastAsia="宋体" w:cs="宋体"/>
                <w:sz w:val="21"/>
                <w:szCs w:val="21"/>
                <w:highlight w:val="yellow"/>
              </w:rPr>
              <w:t>日</w:t>
            </w:r>
            <w:r>
              <w:rPr>
                <w:rFonts w:hint="eastAsia" w:ascii="宋体" w:hAnsi="宋体" w:eastAsia="宋体" w:cs="宋体"/>
                <w:sz w:val="21"/>
                <w:szCs w:val="21"/>
                <w:highlight w:val="none"/>
                <w:lang w:val="en-US" w:eastAsia="zh-CN"/>
              </w:rPr>
              <w:t>15:30</w:t>
            </w:r>
            <w:r>
              <w:rPr>
                <w:rFonts w:hint="eastAsia" w:ascii="宋体" w:hAnsi="宋体" w:eastAsia="宋体" w:cs="宋体"/>
                <w:sz w:val="21"/>
                <w:szCs w:val="21"/>
                <w:highlight w:val="none"/>
              </w:rPr>
              <w:t>时</w:t>
            </w:r>
            <w:r>
              <w:rPr>
                <w:rFonts w:hint="eastAsia" w:ascii="宋体" w:hAnsi="宋体" w:eastAsia="宋体" w:cs="宋体"/>
                <w:color w:val="auto"/>
                <w:kern w:val="2"/>
                <w:sz w:val="21"/>
                <w:szCs w:val="21"/>
                <w:lang w:val="en-US" w:eastAsia="zh-CN" w:bidi="ar-SA"/>
              </w:rPr>
              <w:t>（北京时间）</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1" w:type="dxa"/>
            <w:vAlign w:val="center"/>
          </w:tcPr>
          <w:p>
            <w:pPr>
              <w:tabs>
                <w:tab w:val="left" w:pos="0"/>
              </w:tabs>
              <w:autoSpaceDE w:val="0"/>
              <w:autoSpaceDN w:val="0"/>
              <w:adjustRightInd w:val="0"/>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17</w:t>
            </w:r>
          </w:p>
        </w:tc>
        <w:tc>
          <w:tcPr>
            <w:tcW w:w="2101" w:type="dxa"/>
            <w:vAlign w:val="center"/>
          </w:tcPr>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开标地点：</w:t>
            </w:r>
          </w:p>
        </w:tc>
        <w:tc>
          <w:tcPr>
            <w:tcW w:w="6778" w:type="dxa"/>
            <w:vAlign w:val="center"/>
          </w:tcPr>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 xml:space="preserve">龙游县水务集团有限公司1楼开标室     </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1" w:type="dxa"/>
            <w:vAlign w:val="center"/>
          </w:tcPr>
          <w:p>
            <w:pPr>
              <w:tabs>
                <w:tab w:val="left" w:pos="0"/>
              </w:tabs>
              <w:autoSpaceDE w:val="0"/>
              <w:autoSpaceDN w:val="0"/>
              <w:adjustRightInd w:val="0"/>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18</w:t>
            </w:r>
          </w:p>
        </w:tc>
        <w:tc>
          <w:tcPr>
            <w:tcW w:w="2101" w:type="dxa"/>
            <w:vAlign w:val="center"/>
          </w:tcPr>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评标办法</w:t>
            </w:r>
          </w:p>
        </w:tc>
        <w:tc>
          <w:tcPr>
            <w:tcW w:w="6778" w:type="dxa"/>
            <w:vAlign w:val="center"/>
          </w:tcPr>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综合评分法</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1" w:type="dxa"/>
            <w:vAlign w:val="center"/>
          </w:tcPr>
          <w:p>
            <w:pPr>
              <w:tabs>
                <w:tab w:val="left" w:pos="0"/>
              </w:tabs>
              <w:autoSpaceDE w:val="0"/>
              <w:autoSpaceDN w:val="0"/>
              <w:adjustRightInd w:val="0"/>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19</w:t>
            </w:r>
          </w:p>
        </w:tc>
        <w:tc>
          <w:tcPr>
            <w:tcW w:w="2101" w:type="dxa"/>
            <w:vAlign w:val="center"/>
          </w:tcPr>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中标结果公告</w:t>
            </w:r>
          </w:p>
        </w:tc>
        <w:tc>
          <w:tcPr>
            <w:tcW w:w="6778" w:type="dxa"/>
            <w:vAlign w:val="center"/>
          </w:tcPr>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采购结果经采购人确认后2个工作日内，采购代理机构将对外发布中标成交公告和中标通知书。采购代理机构按相关政府采购规定将中标结果发布在龙游县水务集团有限公司网站上进行公示，公示期为1个工作日。采购人、采购代理机构及评标委员会对未中标的投标人不作落标原因解释。</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1" w:type="dxa"/>
            <w:vAlign w:val="center"/>
          </w:tcPr>
          <w:p>
            <w:pPr>
              <w:tabs>
                <w:tab w:val="left" w:pos="0"/>
              </w:tabs>
              <w:autoSpaceDE w:val="0"/>
              <w:autoSpaceDN w:val="0"/>
              <w:adjustRightInd w:val="0"/>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20</w:t>
            </w:r>
          </w:p>
        </w:tc>
        <w:tc>
          <w:tcPr>
            <w:tcW w:w="2101" w:type="dxa"/>
            <w:vAlign w:val="center"/>
          </w:tcPr>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合同签订时间</w:t>
            </w:r>
          </w:p>
        </w:tc>
        <w:tc>
          <w:tcPr>
            <w:tcW w:w="6778" w:type="dxa"/>
            <w:vAlign w:val="center"/>
          </w:tcPr>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中标通知书发出后30日内。</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1" w:type="dxa"/>
            <w:vAlign w:val="center"/>
          </w:tcPr>
          <w:p>
            <w:pPr>
              <w:tabs>
                <w:tab w:val="left" w:pos="0"/>
              </w:tabs>
              <w:autoSpaceDE w:val="0"/>
              <w:autoSpaceDN w:val="0"/>
              <w:adjustRightInd w:val="0"/>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21</w:t>
            </w:r>
          </w:p>
        </w:tc>
        <w:tc>
          <w:tcPr>
            <w:tcW w:w="2101" w:type="dxa"/>
            <w:vAlign w:val="center"/>
          </w:tcPr>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付款方式</w:t>
            </w:r>
          </w:p>
        </w:tc>
        <w:tc>
          <w:tcPr>
            <w:tcW w:w="6778" w:type="dxa"/>
            <w:vAlign w:val="center"/>
          </w:tcPr>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付款方式：详见合同条款</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1" w:type="dxa"/>
            <w:vAlign w:val="center"/>
          </w:tcPr>
          <w:p>
            <w:pPr>
              <w:tabs>
                <w:tab w:val="left" w:pos="0"/>
              </w:tabs>
              <w:autoSpaceDE w:val="0"/>
              <w:autoSpaceDN w:val="0"/>
              <w:adjustRightInd w:val="0"/>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22</w:t>
            </w:r>
          </w:p>
        </w:tc>
        <w:tc>
          <w:tcPr>
            <w:tcW w:w="2101" w:type="dxa"/>
            <w:vAlign w:val="center"/>
          </w:tcPr>
          <w:p>
            <w:pPr>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履约保证金缴纳</w:t>
            </w:r>
          </w:p>
        </w:tc>
        <w:tc>
          <w:tcPr>
            <w:tcW w:w="6778" w:type="dxa"/>
            <w:vAlign w:val="center"/>
          </w:tcPr>
          <w:p>
            <w:pPr>
              <w:tabs>
                <w:tab w:val="left" w:pos="0"/>
              </w:tabs>
              <w:autoSpaceDE w:val="0"/>
              <w:autoSpaceDN w:val="0"/>
              <w:adjustRightInd w:val="0"/>
              <w:spacing w:line="360" w:lineRule="exact"/>
              <w:ind w:firstLine="0" w:firstLineChars="0"/>
              <w:jc w:val="left"/>
              <w:rPr>
                <w:rFonts w:hint="eastAsia" w:ascii="宋体" w:hAnsi="宋体" w:eastAsia="宋体" w:cs="宋体"/>
                <w:sz w:val="21"/>
                <w:szCs w:val="21"/>
                <w:lang w:val="zh-CN"/>
              </w:rPr>
            </w:pPr>
            <w:r>
              <w:rPr>
                <w:rFonts w:hint="eastAsia" w:ascii="宋体" w:hAnsi="宋体" w:eastAsia="宋体" w:cs="宋体"/>
                <w:sz w:val="21"/>
                <w:szCs w:val="21"/>
                <w:lang w:val="zh-CN"/>
              </w:rPr>
              <w:t>1.缴纳金额：中标人须向采购人交纳，为合同价格的1.0%。</w:t>
            </w:r>
          </w:p>
          <w:p>
            <w:pPr>
              <w:tabs>
                <w:tab w:val="left" w:pos="0"/>
              </w:tabs>
              <w:autoSpaceDE w:val="0"/>
              <w:autoSpaceDN w:val="0"/>
              <w:adjustRightInd w:val="0"/>
              <w:spacing w:line="360" w:lineRule="exact"/>
              <w:ind w:firstLine="0" w:firstLineChars="0"/>
              <w:jc w:val="left"/>
              <w:rPr>
                <w:rFonts w:hint="eastAsia" w:ascii="宋体" w:hAnsi="宋体" w:eastAsia="宋体" w:cs="宋体"/>
                <w:sz w:val="21"/>
                <w:szCs w:val="21"/>
                <w:lang w:val="zh-CN"/>
              </w:rPr>
            </w:pPr>
            <w:r>
              <w:rPr>
                <w:rFonts w:hint="eastAsia" w:ascii="宋体" w:hAnsi="宋体" w:eastAsia="宋体" w:cs="宋体"/>
                <w:sz w:val="21"/>
                <w:szCs w:val="21"/>
                <w:lang w:val="zh-CN"/>
              </w:rPr>
              <w:t>2.交纳方式：汇票/支票/银行转账/银行保函。</w:t>
            </w:r>
          </w:p>
          <w:p>
            <w:pPr>
              <w:tabs>
                <w:tab w:val="left" w:pos="0"/>
              </w:tabs>
              <w:autoSpaceDE w:val="0"/>
              <w:autoSpaceDN w:val="0"/>
              <w:adjustRightInd w:val="0"/>
              <w:spacing w:line="360" w:lineRule="exact"/>
              <w:ind w:firstLine="0" w:firstLineChars="0"/>
              <w:jc w:val="left"/>
              <w:rPr>
                <w:rFonts w:hint="eastAsia" w:ascii="宋体" w:hAnsi="宋体" w:eastAsia="宋体" w:cs="宋体"/>
                <w:sz w:val="21"/>
                <w:szCs w:val="21"/>
                <w:lang w:val="zh-CN"/>
              </w:rPr>
            </w:pPr>
            <w:r>
              <w:rPr>
                <w:rFonts w:hint="eastAsia" w:ascii="宋体" w:hAnsi="宋体" w:eastAsia="宋体" w:cs="宋体"/>
                <w:sz w:val="21"/>
                <w:szCs w:val="21"/>
                <w:lang w:val="zh-CN"/>
              </w:rPr>
              <w:t>3.缴纳时间：本项目中标通知书发出后合同签订前。</w:t>
            </w:r>
          </w:p>
          <w:p>
            <w:pPr>
              <w:tabs>
                <w:tab w:val="left" w:pos="0"/>
              </w:tabs>
              <w:autoSpaceDE w:val="0"/>
              <w:autoSpaceDN w:val="0"/>
              <w:adjustRightInd w:val="0"/>
              <w:spacing w:line="360" w:lineRule="exact"/>
              <w:ind w:firstLine="0" w:firstLineChars="0"/>
              <w:jc w:val="left"/>
              <w:rPr>
                <w:rFonts w:hint="default" w:ascii="宋体" w:hAnsi="宋体" w:eastAsia="宋体" w:cs="宋体"/>
                <w:sz w:val="21"/>
                <w:szCs w:val="21"/>
                <w:lang w:val="en-US" w:eastAsia="zh-CN"/>
              </w:rPr>
            </w:pPr>
            <w:r>
              <w:rPr>
                <w:rFonts w:hint="eastAsia" w:ascii="宋体" w:hAnsi="宋体" w:eastAsia="宋体" w:cs="宋体"/>
                <w:sz w:val="21"/>
                <w:szCs w:val="21"/>
                <w:lang w:val="zh-CN"/>
              </w:rPr>
              <w:t>4.退还条件：合同履行结束后且无质量、服务问题且双方交接确认无误后60个自然日内无息退还。</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1" w:type="dxa"/>
            <w:vAlign w:val="center"/>
          </w:tcPr>
          <w:p>
            <w:pPr>
              <w:tabs>
                <w:tab w:val="left" w:pos="0"/>
              </w:tabs>
              <w:autoSpaceDE w:val="0"/>
              <w:autoSpaceDN w:val="0"/>
              <w:adjustRightInd w:val="0"/>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23</w:t>
            </w:r>
          </w:p>
        </w:tc>
        <w:tc>
          <w:tcPr>
            <w:tcW w:w="2101" w:type="dxa"/>
            <w:vAlign w:val="center"/>
          </w:tcPr>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投标有效期</w:t>
            </w:r>
          </w:p>
        </w:tc>
        <w:tc>
          <w:tcPr>
            <w:tcW w:w="6778" w:type="dxa"/>
            <w:vAlign w:val="center"/>
          </w:tcPr>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投标截止日后90天内有效，不足该有效期的，其投标视为无效标。</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1" w:type="dxa"/>
            <w:vAlign w:val="center"/>
          </w:tcPr>
          <w:p>
            <w:pPr>
              <w:tabs>
                <w:tab w:val="left" w:pos="0"/>
              </w:tabs>
              <w:autoSpaceDE w:val="0"/>
              <w:autoSpaceDN w:val="0"/>
              <w:adjustRightInd w:val="0"/>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24</w:t>
            </w:r>
          </w:p>
        </w:tc>
        <w:tc>
          <w:tcPr>
            <w:tcW w:w="2101" w:type="dxa"/>
            <w:vAlign w:val="center"/>
          </w:tcPr>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质疑</w:t>
            </w:r>
          </w:p>
        </w:tc>
        <w:tc>
          <w:tcPr>
            <w:tcW w:w="6778" w:type="dxa"/>
            <w:vAlign w:val="center"/>
          </w:tcPr>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参照《政府采购法》第五十二条的规定，投标人认为采购文件、采购过程和中标、成交结果使自己的权益受到损害的，可以在知道或者应知其权益受到损害之日起七个工作日内，以书面形式向采购人、采购代理机构提出质疑。</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1" w:type="dxa"/>
            <w:vAlign w:val="center"/>
          </w:tcPr>
          <w:p>
            <w:pPr>
              <w:tabs>
                <w:tab w:val="left" w:pos="0"/>
              </w:tabs>
              <w:autoSpaceDE w:val="0"/>
              <w:autoSpaceDN w:val="0"/>
              <w:adjustRightInd w:val="0"/>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25</w:t>
            </w:r>
          </w:p>
        </w:tc>
        <w:tc>
          <w:tcPr>
            <w:tcW w:w="2101" w:type="dxa"/>
            <w:vAlign w:val="center"/>
          </w:tcPr>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投诉</w:t>
            </w:r>
          </w:p>
        </w:tc>
        <w:tc>
          <w:tcPr>
            <w:tcW w:w="6778" w:type="dxa"/>
            <w:vAlign w:val="center"/>
          </w:tcPr>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参照《政府采购法》第五十五条的规定，质疑投标人对采购人、采购代理机构的答复不满意或者采购人、采购代理机构未在规定的时间内作出答复的，可以在答复期满后十五个工作日内向同级政府采购监督管理部门投诉。</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1" w:type="dxa"/>
            <w:vAlign w:val="center"/>
          </w:tcPr>
          <w:p>
            <w:pPr>
              <w:tabs>
                <w:tab w:val="left" w:pos="0"/>
              </w:tabs>
              <w:autoSpaceDE w:val="0"/>
              <w:autoSpaceDN w:val="0"/>
              <w:adjustRightInd w:val="0"/>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26</w:t>
            </w:r>
          </w:p>
        </w:tc>
        <w:tc>
          <w:tcPr>
            <w:tcW w:w="2101" w:type="dxa"/>
            <w:vAlign w:val="center"/>
          </w:tcPr>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特别说明</w:t>
            </w:r>
          </w:p>
        </w:tc>
        <w:tc>
          <w:tcPr>
            <w:tcW w:w="6778" w:type="dxa"/>
            <w:vAlign w:val="center"/>
          </w:tcPr>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1）如果发现本采购文件中存在含糊不清、相互矛盾、多种含义以及歧视性不公正条款或违法违规等内容时，请投标人在获取采购文件后，答疑截止时间前按要求书面提出，逾期视同自动放弃疑问提出的权利或采购人不作答复。</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（2）该项目中标公示期间，投标人不得通过非正当途径、更不得通过非正当手段获取法律法规规定评标委员会（包括其他相关人员）应当保密的相关内容。</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dxa"/>
            <w:vAlign w:val="center"/>
          </w:tcPr>
          <w:p>
            <w:pPr>
              <w:tabs>
                <w:tab w:val="left" w:pos="0"/>
              </w:tabs>
              <w:autoSpaceDE w:val="0"/>
              <w:autoSpaceDN w:val="0"/>
              <w:adjustRightInd w:val="0"/>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27</w:t>
            </w:r>
          </w:p>
        </w:tc>
        <w:tc>
          <w:tcPr>
            <w:tcW w:w="2101" w:type="dxa"/>
            <w:vAlign w:val="center"/>
          </w:tcPr>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采购代理服务费</w:t>
            </w:r>
          </w:p>
        </w:tc>
        <w:tc>
          <w:tcPr>
            <w:tcW w:w="6778" w:type="dxa"/>
            <w:vAlign w:val="center"/>
          </w:tcPr>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b/>
                <w:bCs/>
                <w:sz w:val="21"/>
                <w:szCs w:val="21"/>
              </w:rPr>
              <w:t>本次采购代理服务费</w:t>
            </w:r>
            <w:r>
              <w:rPr>
                <w:rFonts w:hint="eastAsia" w:ascii="宋体" w:hAnsi="宋体" w:eastAsia="宋体" w:cs="宋体"/>
                <w:b/>
                <w:bCs/>
                <w:sz w:val="21"/>
                <w:szCs w:val="21"/>
                <w:lang w:val="en-US" w:eastAsia="zh-CN"/>
              </w:rPr>
              <w:t>按龙游华水农村供水发展有限公司（2025）6号会议2000计取</w:t>
            </w:r>
            <w:r>
              <w:rPr>
                <w:rFonts w:hint="eastAsia" w:ascii="宋体" w:hAnsi="宋体" w:eastAsia="宋体" w:cs="宋体"/>
                <w:b/>
                <w:bCs/>
                <w:sz w:val="21"/>
                <w:szCs w:val="21"/>
                <w:lang w:eastAsia="zh-CN"/>
              </w:rPr>
              <w:t>、</w:t>
            </w:r>
            <w:r>
              <w:rPr>
                <w:rFonts w:hint="eastAsia" w:ascii="宋体" w:hAnsi="宋体" w:eastAsia="宋体" w:cs="宋体"/>
                <w:b/>
                <w:bCs/>
                <w:sz w:val="21"/>
                <w:szCs w:val="21"/>
              </w:rPr>
              <w:t>评委费（按实）及评审过程中产生的其他费用包含在投标总价中，由中标人在领取中标通知书时以人民币方式向采购代理机构一次性支付。</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1" w:type="dxa"/>
            <w:vAlign w:val="center"/>
          </w:tcPr>
          <w:p>
            <w:pPr>
              <w:tabs>
                <w:tab w:val="left" w:pos="0"/>
              </w:tabs>
              <w:autoSpaceDE w:val="0"/>
              <w:autoSpaceDN w:val="0"/>
              <w:adjustRightInd w:val="0"/>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28</w:t>
            </w:r>
          </w:p>
        </w:tc>
        <w:tc>
          <w:tcPr>
            <w:tcW w:w="2101" w:type="dxa"/>
            <w:vAlign w:val="center"/>
          </w:tcPr>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投标无效情形</w:t>
            </w:r>
          </w:p>
        </w:tc>
        <w:tc>
          <w:tcPr>
            <w:tcW w:w="6778" w:type="dxa"/>
            <w:vAlign w:val="center"/>
          </w:tcPr>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1.在资格审查时，如发现下列情形之一的，投标文件将被视为无效：</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（1）资格</w:t>
            </w:r>
            <w:r>
              <w:rPr>
                <w:rFonts w:hint="eastAsia" w:ascii="宋体" w:hAnsi="宋体" w:eastAsia="宋体" w:cs="宋体"/>
                <w:sz w:val="21"/>
                <w:szCs w:val="21"/>
                <w:lang w:val="en-US" w:eastAsia="zh-CN"/>
              </w:rPr>
              <w:t>审查</w:t>
            </w:r>
            <w:r>
              <w:rPr>
                <w:rFonts w:hint="eastAsia" w:ascii="宋体" w:hAnsi="宋体" w:eastAsia="宋体" w:cs="宋体"/>
                <w:sz w:val="21"/>
                <w:szCs w:val="21"/>
              </w:rPr>
              <w:t>材料不全的，或者不符合招标文件要求的；</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（2）投标人不具备招标文件中规定的资格要求的；</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（3）经查询存在不良信用记录的。</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2.在符合性审查、资信和技术评审时，如发现下列情形之一的，投标文件将被视为无效：</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（1）资格文件及资信技术文件未按要求签署、盖章的；</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 xml:space="preserve">（2）未提供或未按要求提供投标函、法定代表人资格证明书、法定代表人授权委托书、投标声明书； </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（3）未提供或未如实提供采购需求偏离表的；</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（4）对“▲”条款未作实质性响应的；</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（5）未提供或未如实提供服务方案，或者投标文件标明的响应或偏离与事实不符或虚假投标的；</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（6）投标服务方案不明确，存在一个或一个以上备选（替代）投标方案的；</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（7）投标文件含有采购人不能接受的附加条件的；</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（8）法律、法规和招标文件规定的其他无效情形。</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3.在报价评审时，如发现下列情形之一的，投标文件将被视为无效：</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（1）报价文件未按要求签署、盖章的；</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（2）未按照招标文件标明的币种报价的；</w:t>
            </w:r>
          </w:p>
          <w:p>
            <w:pPr>
              <w:tabs>
                <w:tab w:val="left" w:pos="0"/>
              </w:tabs>
              <w:autoSpaceDE w:val="0"/>
              <w:autoSpaceDN w:val="0"/>
              <w:adjustRightInd w:val="0"/>
              <w:spacing w:line="360" w:lineRule="exact"/>
              <w:ind w:firstLine="0" w:firstLineChars="0"/>
              <w:jc w:val="left"/>
              <w:rPr>
                <w:rFonts w:ascii="宋体" w:hAnsi="宋体" w:eastAsia="宋体" w:cs="宋体"/>
                <w:sz w:val="21"/>
                <w:szCs w:val="21"/>
                <w:highlight w:val="yellow"/>
              </w:rPr>
            </w:pPr>
            <w:r>
              <w:rPr>
                <w:rFonts w:hint="eastAsia" w:ascii="宋体" w:hAnsi="宋体" w:eastAsia="宋体" w:cs="宋体"/>
                <w:sz w:val="21"/>
                <w:szCs w:val="21"/>
              </w:rPr>
              <w:t>（3）报价超过招标文件规定预算金额或</w:t>
            </w:r>
            <w:r>
              <w:rPr>
                <w:rFonts w:hint="eastAsia" w:ascii="宋体" w:hAnsi="宋体" w:eastAsia="宋体" w:cs="宋体"/>
                <w:color w:val="000000" w:themeColor="text1"/>
                <w:sz w:val="21"/>
                <w:szCs w:val="21"/>
                <w14:textFill>
                  <w14:solidFill>
                    <w14:schemeClr w14:val="tx1"/>
                  </w14:solidFill>
                </w14:textFill>
              </w:rPr>
              <w:t>者最高限价的</w:t>
            </w:r>
            <w:r>
              <w:rPr>
                <w:rFonts w:hint="eastAsia" w:ascii="宋体" w:hAnsi="宋体" w:eastAsia="宋体" w:cs="宋体"/>
                <w:sz w:val="21"/>
                <w:szCs w:val="21"/>
              </w:rPr>
              <w:t>；</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（4）报价具有选择性的；</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（5）报价明显低于其他通过符合性审查投标人的报价（有可能影响服务质量或者不能诚信履约的），投标人在评标现场合理的时间内无法提供书面说明（必要时提交相关证明材料）证明其报价合理性的。</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4.有下列情形之一的，视为投标人串通投标，其投标无效，由采购人或采购代理机构上报政府采购监督管理部门，视情列入不良行为记录名单，在一至三年内禁止参加政府采购活动：</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（1）不同投标人的投标文件由同一单位或者个人编制；</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（2）不同投标人委托同一单位或者个人办理投标事宜；</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（3）不同投标人的投标文件载明的项目管理成员或者联系人员为同一人；</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（4）不同投标人的投标文件异常一致或者投标报价呈规律性差异；</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（5）不同投标人的投标文件相互混装。</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41" w:type="dxa"/>
            <w:vAlign w:val="center"/>
          </w:tcPr>
          <w:p>
            <w:pPr>
              <w:tabs>
                <w:tab w:val="left" w:pos="0"/>
              </w:tabs>
              <w:autoSpaceDE w:val="0"/>
              <w:autoSpaceDN w:val="0"/>
              <w:adjustRightInd w:val="0"/>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29</w:t>
            </w:r>
          </w:p>
        </w:tc>
        <w:tc>
          <w:tcPr>
            <w:tcW w:w="2101" w:type="dxa"/>
            <w:vAlign w:val="center"/>
          </w:tcPr>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其他</w:t>
            </w:r>
          </w:p>
        </w:tc>
        <w:tc>
          <w:tcPr>
            <w:tcW w:w="6778" w:type="dxa"/>
            <w:vAlign w:val="center"/>
          </w:tcPr>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1、本采购文件共</w:t>
            </w:r>
            <w:r>
              <w:rPr>
                <w:rFonts w:hint="eastAsia" w:ascii="宋体" w:hAnsi="宋体" w:eastAsia="宋体" w:cs="宋体"/>
                <w:sz w:val="21"/>
                <w:szCs w:val="21"/>
                <w:highlight w:val="yellow"/>
                <w:lang w:val="en-US" w:eastAsia="zh-CN"/>
              </w:rPr>
              <w:t>60</w:t>
            </w:r>
            <w:r>
              <w:rPr>
                <w:rFonts w:hint="eastAsia" w:ascii="宋体" w:hAnsi="宋体" w:eastAsia="宋体" w:cs="宋体"/>
                <w:sz w:val="21"/>
                <w:szCs w:val="21"/>
              </w:rPr>
              <w:t>页 （含封面）请各投标人收到本文件后自行核对，如有缺页、错装等情况请于当日向采购代理机构提出，如未提出，所有责任及由此造成的后果由投标人自负。</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2、请投标人仔细阅读本采购文件，其中带“▲”标记的条款为实质性内容，投标人须对带“▲”标记的条款作出实质性响应。</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3、根据《关于在政府采购活动中查询及使用信用记录有关问题的通知》财库[2016]125号的规定：</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1）采购人或采购代理机构将对本项目投标人的信用信息进行查询。</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2）查询渠道为信用中国网站（www.creditchina.gov.cn）、中国政府采购网（www.ccgp.gov.cn）。</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3）信用信息截止时点为从本项目投标截止日往前追溯三年，期间被列入失信被执行人名单、重大税收违法案件当事人名单、政府采购严重违法失信行为记录名单等投标人信用信息均将用于本项目。</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4）信用信息查询记录和证据以网页截图等方式留存。</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5）信用信息将作为评审和确定成交投标人的依据。</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 xml:space="preserve">6）联合体成员存在不良信用记录的，视同联合体存在不良信用记录。4、扶持中小企业（监狱企业、残疾人福利性单位）： </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4.1、企业类型</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（1）中小企业</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符合中小企业划分标准的个体工商户，在政府采购活动中视同中小企业。</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在服务采购项目中，服务由中小企业承接，即提供服务的人员为中小企业依照《民法典》订立劳动合同的从业人员。可享受相关中小企业扶持政策。</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以联合体形式参加政府采购活动，联合体各方均为中小企业的，联合体视同中小企业。其中，联合体各方均为小微企业的，联合体视同小微企业。</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投标文件中须同时出具《政府采购促进中小企业发展管理办法》【财库（2020）46号】规定的《中小企业声明函》，否则不得享受价格扣除。</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（2）残疾人福利性单位</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符合《关于促进残疾人就业政府采购政策的通知》（财库〔2017〕141号）规定的条件并提供提供《残疾人福利性单位声明函》的残疾人福利性单位视同小型、微型企业；</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（3）监狱企业</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根据《关于政府采购支持监狱企业发展有关问题的通知》（财库[2014]68号）的规定，投标人提供由省级以上监狱管理局、戒毒管理局（含新疆生产建设兵团）出具的属于监狱企业证明文件的，视同为小型和微型企业。</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4.3、针对本项目的相关规定</w:t>
            </w:r>
          </w:p>
          <w:p>
            <w:pPr>
              <w:tabs>
                <w:tab w:val="left" w:pos="0"/>
              </w:tabs>
              <w:autoSpaceDE w:val="0"/>
              <w:autoSpaceDN w:val="0"/>
              <w:adjustRightIn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tabs>
                <w:tab w:val="left" w:pos="0"/>
              </w:tabs>
              <w:autoSpaceDE w:val="0"/>
              <w:autoSpaceDN w:val="0"/>
              <w:adjustRightIn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（2）本项目对符合规定的小微企业（含小型企业）报价给予</w:t>
            </w:r>
            <w:r>
              <w:rPr>
                <w:rFonts w:hint="eastAsia" w:ascii="宋体" w:hAnsi="宋体" w:eastAsia="宋体" w:cs="宋体"/>
                <w:sz w:val="21"/>
                <w:szCs w:val="21"/>
                <w:lang w:val="en-US" w:eastAsia="zh-CN"/>
              </w:rPr>
              <w:t>1</w:t>
            </w:r>
            <w:r>
              <w:rPr>
                <w:rFonts w:hint="eastAsia" w:ascii="宋体" w:hAnsi="宋体" w:eastAsia="宋体" w:cs="宋体"/>
                <w:sz w:val="21"/>
                <w:szCs w:val="21"/>
              </w:rPr>
              <w:t>0%的扣除。</w:t>
            </w:r>
          </w:p>
          <w:p>
            <w:pPr>
              <w:tabs>
                <w:tab w:val="left" w:pos="0"/>
              </w:tabs>
              <w:autoSpaceDE w:val="0"/>
              <w:autoSpaceDN w:val="0"/>
              <w:adjustRightInd w:val="0"/>
              <w:spacing w:line="360" w:lineRule="exact"/>
              <w:ind w:firstLine="0" w:firstLineChars="0"/>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）本项目对应的中小企业计划分标准所属行业为：工业。</w:t>
            </w:r>
          </w:p>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本项目对小微企业的划分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1" w:type="dxa"/>
            <w:vAlign w:val="center"/>
          </w:tcPr>
          <w:p>
            <w:pPr>
              <w:tabs>
                <w:tab w:val="left" w:pos="0"/>
              </w:tabs>
              <w:autoSpaceDE w:val="0"/>
              <w:autoSpaceDN w:val="0"/>
              <w:adjustRightInd w:val="0"/>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30</w:t>
            </w:r>
          </w:p>
        </w:tc>
        <w:tc>
          <w:tcPr>
            <w:tcW w:w="2101" w:type="dxa"/>
            <w:vAlign w:val="center"/>
          </w:tcPr>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sz w:val="21"/>
                <w:szCs w:val="21"/>
              </w:rPr>
              <w:t>信息网址</w:t>
            </w:r>
          </w:p>
        </w:tc>
        <w:tc>
          <w:tcPr>
            <w:tcW w:w="6778" w:type="dxa"/>
            <w:vAlign w:val="center"/>
          </w:tcPr>
          <w:p>
            <w:pPr>
              <w:tabs>
                <w:tab w:val="left" w:pos="0"/>
              </w:tabs>
              <w:autoSpaceDE w:val="0"/>
              <w:autoSpaceDN w:val="0"/>
              <w:adjustRightInd w:val="0"/>
              <w:spacing w:line="360" w:lineRule="exact"/>
              <w:ind w:firstLine="0" w:firstLineChars="0"/>
              <w:jc w:val="left"/>
              <w:rPr>
                <w:rFonts w:ascii="宋体" w:hAnsi="宋体" w:eastAsia="宋体" w:cs="宋体"/>
                <w:sz w:val="21"/>
                <w:szCs w:val="21"/>
              </w:rPr>
            </w:pPr>
            <w:r>
              <w:rPr>
                <w:rFonts w:hint="eastAsia" w:ascii="宋体" w:hAnsi="宋体" w:eastAsia="宋体" w:cs="宋体"/>
                <w:color w:val="000000"/>
                <w:sz w:val="21"/>
                <w:szCs w:val="21"/>
              </w:rPr>
              <w:t>龙游县水务集团有限公司网站（http://www.lyswjt.com）</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1" w:type="dxa"/>
            <w:vAlign w:val="center"/>
          </w:tcPr>
          <w:p>
            <w:pPr>
              <w:tabs>
                <w:tab w:val="left" w:pos="0"/>
              </w:tabs>
              <w:autoSpaceDE w:val="0"/>
              <w:autoSpaceDN w:val="0"/>
              <w:adjustRightInd w:val="0"/>
              <w:spacing w:line="360" w:lineRule="exact"/>
              <w:ind w:firstLine="0" w:firstLineChars="0"/>
              <w:jc w:val="center"/>
              <w:rPr>
                <w:rFonts w:ascii="宋体" w:hAnsi="宋体" w:eastAsia="宋体" w:cs="宋体"/>
                <w:sz w:val="21"/>
                <w:szCs w:val="21"/>
              </w:rPr>
            </w:pPr>
            <w:r>
              <w:rPr>
                <w:rFonts w:hint="eastAsia" w:ascii="宋体" w:hAnsi="宋体" w:eastAsia="宋体" w:cs="宋体"/>
                <w:sz w:val="21"/>
                <w:szCs w:val="21"/>
              </w:rPr>
              <w:t>31</w:t>
            </w:r>
          </w:p>
        </w:tc>
        <w:tc>
          <w:tcPr>
            <w:tcW w:w="2101" w:type="dxa"/>
            <w:vAlign w:val="center"/>
          </w:tcPr>
          <w:p>
            <w:pPr>
              <w:tabs>
                <w:tab w:val="left" w:pos="0"/>
              </w:tabs>
              <w:autoSpaceDE w:val="0"/>
              <w:autoSpaceDN w:val="0"/>
              <w:adjustRightInd w:val="0"/>
              <w:spacing w:line="360" w:lineRule="exact"/>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解释权</w:t>
            </w:r>
          </w:p>
        </w:tc>
        <w:tc>
          <w:tcPr>
            <w:tcW w:w="6778" w:type="dxa"/>
            <w:vAlign w:val="center"/>
          </w:tcPr>
          <w:p>
            <w:pPr>
              <w:tabs>
                <w:tab w:val="left" w:pos="0"/>
              </w:tabs>
              <w:autoSpaceDE w:val="0"/>
              <w:autoSpaceDN w:val="0"/>
              <w:adjustRightInd w:val="0"/>
              <w:spacing w:line="360" w:lineRule="exact"/>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本文件的解释权属于采购人</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741" w:type="dxa"/>
            <w:vAlign w:val="center"/>
          </w:tcPr>
          <w:p>
            <w:pPr>
              <w:tabs>
                <w:tab w:val="left" w:pos="0"/>
              </w:tabs>
              <w:autoSpaceDE w:val="0"/>
              <w:autoSpaceDN w:val="0"/>
              <w:adjustRightInd w:val="0"/>
              <w:spacing w:line="360" w:lineRule="exact"/>
              <w:ind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32</w:t>
            </w:r>
          </w:p>
        </w:tc>
        <w:tc>
          <w:tcPr>
            <w:tcW w:w="2101" w:type="dxa"/>
            <w:vAlign w:val="center"/>
          </w:tcPr>
          <w:p>
            <w:pPr>
              <w:tabs>
                <w:tab w:val="left" w:pos="0"/>
              </w:tabs>
              <w:autoSpaceDE w:val="0"/>
              <w:autoSpaceDN w:val="0"/>
              <w:adjustRightInd w:val="0"/>
              <w:spacing w:line="360" w:lineRule="exact"/>
              <w:ind w:firstLine="0" w:firstLineChars="0"/>
              <w:jc w:val="left"/>
              <w:rPr>
                <w:rFonts w:hint="eastAsia" w:ascii="宋体" w:hAnsi="宋体" w:eastAsia="宋体" w:cs="宋体"/>
                <w:color w:val="000000"/>
                <w:sz w:val="21"/>
                <w:szCs w:val="21"/>
              </w:rPr>
            </w:pPr>
            <w:r>
              <w:rPr>
                <w:rFonts w:hint="eastAsia" w:ascii="宋体" w:hAnsi="宋体" w:eastAsia="宋体" w:cs="宋体"/>
                <w:sz w:val="21"/>
                <w:szCs w:val="21"/>
                <w:lang w:val="zh-CN"/>
              </w:rPr>
              <w:t>项目属性与核心产品</w:t>
            </w:r>
          </w:p>
        </w:tc>
        <w:tc>
          <w:tcPr>
            <w:tcW w:w="6778" w:type="dxa"/>
            <w:vAlign w:val="center"/>
          </w:tcPr>
          <w:p>
            <w:pPr>
              <w:tabs>
                <w:tab w:val="left" w:pos="0"/>
              </w:tabs>
              <w:autoSpaceDE w:val="0"/>
              <w:autoSpaceDN w:val="0"/>
              <w:adjustRightInd w:val="0"/>
              <w:spacing w:line="360" w:lineRule="exact"/>
              <w:ind w:firstLine="0" w:firstLineChars="0"/>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货物类</w:t>
            </w:r>
            <w:r>
              <w:rPr>
                <w:rFonts w:hint="eastAsia" w:ascii="宋体" w:hAnsi="宋体" w:eastAsia="宋体" w:cs="宋体"/>
                <w:sz w:val="21"/>
                <w:szCs w:val="21"/>
                <w:lang w:val="zh-CN"/>
              </w:rPr>
              <w:t>，核心产品为：</w:t>
            </w:r>
            <w:r>
              <w:rPr>
                <w:rFonts w:hint="eastAsia" w:asciiTheme="minorEastAsia" w:hAnsiTheme="minorEastAsia" w:eastAsiaTheme="minorEastAsia" w:cstheme="minorEastAsia"/>
                <w:color w:val="auto"/>
                <w:sz w:val="21"/>
                <w:szCs w:val="21"/>
                <w:highlight w:val="none"/>
              </w:rPr>
              <w:t>哈夫节</w:t>
            </w:r>
          </w:p>
        </w:tc>
      </w:tr>
      <w:bookmarkEnd w:id="16"/>
      <w:bookmarkEnd w:id="17"/>
      <w:bookmarkEnd w:id="18"/>
      <w:bookmarkEnd w:id="19"/>
      <w:bookmarkEnd w:id="28"/>
      <w:bookmarkEnd w:id="29"/>
      <w:bookmarkEnd w:id="30"/>
      <w:bookmarkEnd w:id="31"/>
      <w:bookmarkEnd w:id="32"/>
      <w:bookmarkEnd w:id="33"/>
      <w:bookmarkEnd w:id="34"/>
      <w:bookmarkEnd w:id="35"/>
      <w:bookmarkEnd w:id="52"/>
      <w:bookmarkEnd w:id="53"/>
      <w:bookmarkEnd w:id="54"/>
      <w:bookmarkEnd w:id="55"/>
      <w:bookmarkEnd w:id="56"/>
      <w:bookmarkEnd w:id="57"/>
      <w:bookmarkEnd w:id="58"/>
      <w:bookmarkEnd w:id="59"/>
      <w:bookmarkEnd w:id="60"/>
      <w:bookmarkEnd w:id="61"/>
      <w:bookmarkEnd w:id="62"/>
      <w:bookmarkEnd w:id="63"/>
      <w:bookmarkEnd w:id="64"/>
      <w:bookmarkEnd w:id="65"/>
    </w:tbl>
    <w:p>
      <w:pPr>
        <w:pStyle w:val="5"/>
        <w:spacing w:before="167" w:after="167"/>
        <w:ind w:firstLine="482"/>
        <w:jc w:val="center"/>
        <w:rPr>
          <w:rFonts w:ascii="宋体" w:hAnsi="宋体" w:eastAsia="宋体" w:cs="宋体"/>
          <w:color w:val="000000"/>
          <w:kern w:val="2"/>
          <w:sz w:val="24"/>
          <w:szCs w:val="24"/>
          <w:lang w:val="en-US"/>
        </w:rPr>
      </w:pPr>
      <w:bookmarkStart w:id="66" w:name="_Toc82338239"/>
      <w:bookmarkStart w:id="67" w:name="_Toc82873322"/>
      <w:bookmarkStart w:id="68" w:name="_Toc18477"/>
      <w:bookmarkStart w:id="69" w:name="_Toc515876920"/>
      <w:r>
        <w:rPr>
          <w:rFonts w:hint="eastAsia" w:ascii="宋体" w:hAnsi="宋体" w:eastAsia="宋体" w:cs="宋体"/>
          <w:color w:val="000000"/>
          <w:kern w:val="2"/>
          <w:sz w:val="24"/>
          <w:szCs w:val="24"/>
          <w:lang w:val="en-US"/>
        </w:rPr>
        <w:t>二、</w:t>
      </w:r>
      <w:bookmarkEnd w:id="66"/>
      <w:bookmarkEnd w:id="67"/>
      <w:r>
        <w:rPr>
          <w:rFonts w:hint="eastAsia" w:ascii="宋体" w:hAnsi="宋体" w:eastAsia="宋体" w:cs="宋体"/>
          <w:color w:val="000000"/>
          <w:kern w:val="2"/>
          <w:sz w:val="24"/>
          <w:szCs w:val="24"/>
          <w:lang w:val="en-US"/>
        </w:rPr>
        <w:t>总则</w:t>
      </w:r>
      <w:bookmarkEnd w:id="68"/>
      <w:bookmarkEnd w:id="69"/>
    </w:p>
    <w:p>
      <w:pPr>
        <w:tabs>
          <w:tab w:val="left" w:pos="0"/>
          <w:tab w:val="left" w:pos="900"/>
          <w:tab w:val="left" w:pos="7020"/>
          <w:tab w:val="left" w:pos="8460"/>
        </w:tabs>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根据《龙游县国有企业采购管理办法》（龙政办发[2021]5</w:t>
      </w:r>
      <w:r>
        <w:rPr>
          <w:rFonts w:hint="eastAsia" w:ascii="宋体" w:hAnsi="宋体" w:eastAsia="宋体" w:cs="宋体"/>
          <w:color w:val="000000" w:themeColor="text1"/>
          <w:sz w:val="21"/>
          <w:szCs w:val="21"/>
          <w14:textFill>
            <w14:solidFill>
              <w14:schemeClr w14:val="tx1"/>
            </w14:solidFill>
          </w14:textFill>
        </w:rPr>
        <w:t>8号）及有关法律</w:t>
      </w:r>
      <w:r>
        <w:rPr>
          <w:rFonts w:hint="eastAsia" w:ascii="宋体" w:hAnsi="宋体" w:eastAsia="宋体" w:cs="宋体"/>
          <w:color w:val="000000"/>
          <w:sz w:val="21"/>
          <w:szCs w:val="21"/>
        </w:rPr>
        <w:t>、法规规定，编制本招标文件。</w:t>
      </w:r>
    </w:p>
    <w:p>
      <w:pPr>
        <w:numPr>
          <w:ilvl w:val="1"/>
          <w:numId w:val="3"/>
        </w:numPr>
        <w:snapToGrid w:val="0"/>
        <w:spacing w:line="360" w:lineRule="auto"/>
        <w:ind w:firstLine="480"/>
        <w:rPr>
          <w:rFonts w:ascii="宋体" w:hAnsi="宋体" w:eastAsia="宋体" w:cs="宋体"/>
          <w:b/>
          <w:bCs/>
          <w:color w:val="000000"/>
          <w:sz w:val="21"/>
          <w:szCs w:val="21"/>
        </w:rPr>
      </w:pPr>
      <w:r>
        <w:rPr>
          <w:rFonts w:hint="eastAsia" w:ascii="宋体" w:hAnsi="宋体" w:eastAsia="宋体" w:cs="宋体"/>
          <w:color w:val="000000"/>
          <w:sz w:val="21"/>
          <w:szCs w:val="21"/>
        </w:rPr>
        <w:t>适用范围</w:t>
      </w:r>
    </w:p>
    <w:p>
      <w:pPr>
        <w:tabs>
          <w:tab w:val="left" w:pos="0"/>
          <w:tab w:val="left" w:pos="900"/>
          <w:tab w:val="left" w:pos="7020"/>
          <w:tab w:val="left" w:pos="8460"/>
        </w:tabs>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本招标文件仅适用于本次招标采购项目的招标、投标、评标、定标、验收、合同履约、付款等行为。</w:t>
      </w:r>
    </w:p>
    <w:p>
      <w:pPr>
        <w:numPr>
          <w:ilvl w:val="1"/>
          <w:numId w:val="3"/>
        </w:num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定义</w:t>
      </w:r>
    </w:p>
    <w:p>
      <w:pPr>
        <w:spacing w:line="360" w:lineRule="auto"/>
        <w:ind w:firstLine="480"/>
        <w:rPr>
          <w:rFonts w:ascii="宋体" w:hAnsi="宋体" w:eastAsia="宋体" w:cs="宋体"/>
          <w:color w:val="000000"/>
          <w:sz w:val="21"/>
          <w:szCs w:val="21"/>
        </w:rPr>
      </w:pPr>
      <w:r>
        <w:rPr>
          <w:rFonts w:hint="eastAsia" w:ascii="宋体" w:hAnsi="宋体" w:eastAsia="宋体" w:cs="宋体"/>
          <w:sz w:val="21"/>
          <w:szCs w:val="21"/>
        </w:rPr>
        <w:t>2.1“采购人”</w:t>
      </w:r>
      <w:r>
        <w:rPr>
          <w:rFonts w:hint="eastAsia" w:ascii="宋体" w:hAnsi="宋体" w:eastAsia="宋体" w:cs="宋体"/>
          <w:color w:val="000000"/>
          <w:sz w:val="21"/>
          <w:szCs w:val="21"/>
        </w:rPr>
        <w:t>系指是指依法进行政府采购的国家机关、事业单位、团体组织，见“投标人须知前附表”；</w:t>
      </w:r>
    </w:p>
    <w:p>
      <w:pPr>
        <w:spacing w:line="360" w:lineRule="auto"/>
        <w:ind w:firstLine="480"/>
        <w:rPr>
          <w:rFonts w:ascii="宋体" w:hAnsi="宋体" w:eastAsia="宋体" w:cs="宋体"/>
          <w:color w:val="000000"/>
          <w:sz w:val="21"/>
          <w:szCs w:val="21"/>
        </w:rPr>
      </w:pPr>
      <w:r>
        <w:rPr>
          <w:rFonts w:hint="eastAsia" w:ascii="宋体" w:hAnsi="宋体" w:eastAsia="宋体" w:cs="宋体"/>
          <w:sz w:val="21"/>
          <w:szCs w:val="21"/>
        </w:rPr>
        <w:t>2.2“投标人”</w:t>
      </w:r>
      <w:r>
        <w:rPr>
          <w:rFonts w:hint="eastAsia" w:ascii="宋体" w:hAnsi="宋体" w:eastAsia="宋体" w:cs="宋体"/>
          <w:color w:val="000000"/>
          <w:sz w:val="21"/>
          <w:szCs w:val="21"/>
        </w:rPr>
        <w:t>是指参加本政府采购项目投标的供应商；</w:t>
      </w:r>
    </w:p>
    <w:p>
      <w:pPr>
        <w:spacing w:line="360" w:lineRule="auto"/>
        <w:ind w:firstLine="480"/>
        <w:rPr>
          <w:sz w:val="21"/>
          <w:szCs w:val="21"/>
        </w:rPr>
      </w:pPr>
      <w:r>
        <w:rPr>
          <w:rFonts w:hint="eastAsia" w:ascii="宋体" w:hAnsi="宋体" w:eastAsia="宋体" w:cs="宋体"/>
          <w:sz w:val="21"/>
          <w:szCs w:val="21"/>
        </w:rPr>
        <w:t>2.3投标人代表：是指参加本项目投标活动的投标人法定代表人或法定代表人授权代表；</w:t>
      </w:r>
    </w:p>
    <w:p>
      <w:pPr>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2.4甲方：是指合同签订的一方，一般与采购人、用户相同；</w:t>
      </w:r>
    </w:p>
    <w:p>
      <w:pPr>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2.5乙方：是指合同签订的另一方，与中标人相同；</w:t>
      </w:r>
    </w:p>
    <w:p>
      <w:pPr>
        <w:spacing w:line="360" w:lineRule="auto"/>
        <w:ind w:firstLine="480"/>
        <w:rPr>
          <w:rFonts w:ascii="宋体" w:hAnsi="宋体" w:eastAsia="宋体" w:cs="宋体"/>
          <w:sz w:val="21"/>
          <w:szCs w:val="21"/>
        </w:rPr>
      </w:pPr>
      <w:r>
        <w:rPr>
          <w:rFonts w:hint="eastAsia" w:ascii="宋体" w:hAnsi="宋体" w:eastAsia="宋体" w:cs="宋体"/>
          <w:sz w:val="21"/>
          <w:szCs w:val="21"/>
        </w:rPr>
        <w:t>2.6“招标组织人”系指“泰宇建筑工程技术咨询有限公司”</w:t>
      </w:r>
    </w:p>
    <w:p>
      <w:pPr>
        <w:spacing w:line="360" w:lineRule="auto"/>
        <w:ind w:firstLine="480"/>
        <w:rPr>
          <w:rFonts w:ascii="宋体" w:hAnsi="宋体" w:eastAsia="宋体" w:cs="宋体"/>
          <w:sz w:val="21"/>
          <w:szCs w:val="21"/>
        </w:rPr>
      </w:pPr>
      <w:r>
        <w:rPr>
          <w:rFonts w:hint="eastAsia" w:ascii="宋体" w:hAnsi="宋体" w:eastAsia="宋体" w:cs="宋体"/>
          <w:sz w:val="21"/>
          <w:szCs w:val="21"/>
        </w:rPr>
        <w:t>2.7“产品”系指投标人按采购文件规定，须向采购人提供的一切货物、保险、税金、备品备件、工具、手册及其它有关技术资料和材料。</w:t>
      </w:r>
    </w:p>
    <w:p>
      <w:pPr>
        <w:spacing w:line="360" w:lineRule="auto"/>
        <w:ind w:firstLine="480"/>
        <w:rPr>
          <w:rFonts w:ascii="宋体" w:hAnsi="宋体" w:eastAsia="宋体" w:cs="宋体"/>
          <w:sz w:val="21"/>
          <w:szCs w:val="21"/>
        </w:rPr>
      </w:pPr>
      <w:r>
        <w:rPr>
          <w:rFonts w:hint="eastAsia" w:ascii="宋体" w:hAnsi="宋体" w:eastAsia="宋体" w:cs="宋体"/>
          <w:sz w:val="21"/>
          <w:szCs w:val="21"/>
        </w:rPr>
        <w:t>2.8“服务” 系指采购文件或合同规定投标人须承担的本项目服务以及其他项目采购需求规定的服务。</w:t>
      </w:r>
    </w:p>
    <w:p>
      <w:pPr>
        <w:spacing w:line="360" w:lineRule="auto"/>
        <w:ind w:firstLine="480"/>
        <w:rPr>
          <w:rFonts w:ascii="宋体" w:hAnsi="宋体" w:eastAsia="宋体" w:cs="宋体"/>
          <w:sz w:val="21"/>
          <w:szCs w:val="21"/>
        </w:rPr>
      </w:pPr>
      <w:r>
        <w:rPr>
          <w:rFonts w:hint="eastAsia" w:ascii="宋体" w:hAnsi="宋体" w:eastAsia="宋体" w:cs="宋体"/>
          <w:sz w:val="21"/>
          <w:szCs w:val="21"/>
        </w:rPr>
        <w:t>2.9“书面形式”包括纸质文件、电子邮件、信函、传真等</w:t>
      </w:r>
    </w:p>
    <w:p>
      <w:pPr>
        <w:spacing w:line="360" w:lineRule="auto"/>
        <w:ind w:firstLine="480"/>
        <w:rPr>
          <w:rFonts w:ascii="宋体" w:hAnsi="宋体" w:eastAsia="宋体" w:cs="宋体"/>
          <w:sz w:val="21"/>
          <w:szCs w:val="21"/>
        </w:rPr>
      </w:pPr>
      <w:r>
        <w:rPr>
          <w:rFonts w:hint="eastAsia" w:ascii="宋体" w:hAnsi="宋体" w:eastAsia="宋体" w:cs="宋体"/>
          <w:sz w:val="21"/>
          <w:szCs w:val="21"/>
        </w:rPr>
        <w:t>2.10实质性响应：是指投标文件相关内容符合招标（采购）文件规定的实质性内容、条款和规定。</w:t>
      </w:r>
    </w:p>
    <w:p>
      <w:pPr>
        <w:spacing w:line="360" w:lineRule="auto"/>
        <w:ind w:firstLine="480"/>
        <w:rPr>
          <w:rFonts w:ascii="宋体" w:hAnsi="宋体" w:eastAsia="宋体" w:cs="宋体"/>
          <w:sz w:val="21"/>
          <w:szCs w:val="21"/>
        </w:rPr>
      </w:pPr>
      <w:r>
        <w:rPr>
          <w:rFonts w:hint="eastAsia" w:ascii="宋体" w:hAnsi="宋体" w:eastAsia="宋体" w:cs="宋体"/>
          <w:sz w:val="21"/>
          <w:szCs w:val="21"/>
        </w:rPr>
        <w:t>2.11采购文件中所有标示“▲”的均为采购人提出的实质性条款，如未实质性响应的，将按无效投标处理。</w:t>
      </w:r>
    </w:p>
    <w:p>
      <w:pPr>
        <w:numPr>
          <w:ilvl w:val="1"/>
          <w:numId w:val="3"/>
        </w:num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投标费用</w:t>
      </w:r>
    </w:p>
    <w:p>
      <w:pPr>
        <w:tabs>
          <w:tab w:val="left" w:pos="0"/>
          <w:tab w:val="left" w:pos="900"/>
          <w:tab w:val="left" w:pos="7020"/>
          <w:tab w:val="left" w:pos="8460"/>
        </w:tabs>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不论投标结果如何，投标人均应自行承担所有与投标有关的全部费用。</w:t>
      </w:r>
    </w:p>
    <w:p>
      <w:pPr>
        <w:numPr>
          <w:ilvl w:val="1"/>
          <w:numId w:val="3"/>
        </w:num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招标方式</w:t>
      </w:r>
    </w:p>
    <w:p>
      <w:pPr>
        <w:snapToGrid w:val="0"/>
        <w:spacing w:line="360" w:lineRule="auto"/>
        <w:ind w:firstLine="480"/>
        <w:jc w:val="left"/>
        <w:rPr>
          <w:rFonts w:ascii="宋体" w:hAnsi="宋体" w:eastAsia="宋体" w:cs="宋体"/>
          <w:color w:val="000000"/>
          <w:sz w:val="21"/>
          <w:szCs w:val="21"/>
        </w:rPr>
      </w:pPr>
      <w:r>
        <w:rPr>
          <w:rFonts w:hint="eastAsia" w:ascii="宋体" w:hAnsi="宋体" w:eastAsia="宋体" w:cs="宋体"/>
          <w:color w:val="000000"/>
          <w:sz w:val="21"/>
          <w:szCs w:val="21"/>
        </w:rPr>
        <w:t>本次招标采用公开招标方式进行。</w:t>
      </w:r>
    </w:p>
    <w:p>
      <w:pPr>
        <w:numPr>
          <w:ilvl w:val="1"/>
          <w:numId w:val="3"/>
        </w:num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投标委托</w:t>
      </w:r>
    </w:p>
    <w:p>
      <w:pPr>
        <w:spacing w:line="360" w:lineRule="auto"/>
        <w:ind w:firstLine="480"/>
        <w:rPr>
          <w:rFonts w:ascii="宋体" w:hAnsi="宋体" w:eastAsia="宋体" w:cs="宋体"/>
          <w:sz w:val="21"/>
          <w:szCs w:val="21"/>
        </w:rPr>
      </w:pPr>
      <w:r>
        <w:rPr>
          <w:rFonts w:hint="eastAsia" w:ascii="宋体" w:hAnsi="宋体" w:eastAsia="宋体" w:cs="宋体"/>
          <w:sz w:val="21"/>
          <w:szCs w:val="21"/>
        </w:rPr>
        <w:t>投标人代表须携带有效身份证件。如投标人代表不是法定代表人，须有法定代表人出具的授权委托书（正本用原件，副本用复印件，格式见第五章）。</w:t>
      </w:r>
    </w:p>
    <w:p>
      <w:pPr>
        <w:numPr>
          <w:ilvl w:val="1"/>
          <w:numId w:val="3"/>
        </w:numPr>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联合体投标</w:t>
      </w:r>
    </w:p>
    <w:p>
      <w:pPr>
        <w:snapToGrid w:val="0"/>
        <w:spacing w:line="360" w:lineRule="auto"/>
        <w:ind w:firstLine="480"/>
        <w:jc w:val="left"/>
        <w:rPr>
          <w:rFonts w:ascii="宋体" w:hAnsi="宋体" w:eastAsia="宋体" w:cs="宋体"/>
          <w:color w:val="000000"/>
          <w:sz w:val="21"/>
          <w:szCs w:val="21"/>
        </w:rPr>
      </w:pPr>
      <w:r>
        <w:rPr>
          <w:rFonts w:hint="eastAsia" w:ascii="宋体" w:hAnsi="宋体" w:eastAsia="宋体" w:cs="宋体"/>
          <w:color w:val="000000"/>
          <w:sz w:val="21"/>
          <w:szCs w:val="21"/>
        </w:rPr>
        <w:t>本项目不接受联合体投标。</w:t>
      </w:r>
    </w:p>
    <w:p>
      <w:pPr>
        <w:numPr>
          <w:ilvl w:val="1"/>
          <w:numId w:val="3"/>
        </w:numPr>
        <w:snapToGrid w:val="0"/>
        <w:spacing w:line="360" w:lineRule="auto"/>
        <w:ind w:firstLine="480"/>
        <w:rPr>
          <w:rFonts w:ascii="宋体" w:hAnsi="宋体" w:eastAsia="宋体" w:cs="宋体"/>
          <w:kern w:val="0"/>
          <w:sz w:val="21"/>
          <w:szCs w:val="21"/>
        </w:rPr>
      </w:pPr>
      <w:r>
        <w:rPr>
          <w:rFonts w:hint="eastAsia" w:ascii="宋体" w:hAnsi="宋体" w:eastAsia="宋体" w:cs="宋体"/>
          <w:kern w:val="0"/>
          <w:sz w:val="21"/>
          <w:szCs w:val="21"/>
        </w:rPr>
        <w:t>转包与分包</w:t>
      </w:r>
    </w:p>
    <w:p>
      <w:pPr>
        <w:snapToGrid w:val="0"/>
        <w:spacing w:line="360" w:lineRule="auto"/>
        <w:ind w:firstLine="480"/>
        <w:rPr>
          <w:rFonts w:ascii="宋体" w:hAnsi="宋体" w:eastAsia="宋体" w:cs="宋体"/>
          <w:color w:val="000000"/>
          <w:kern w:val="0"/>
          <w:sz w:val="21"/>
          <w:szCs w:val="21"/>
        </w:rPr>
      </w:pPr>
      <w:r>
        <w:rPr>
          <w:rFonts w:hint="eastAsia" w:ascii="宋体" w:hAnsi="宋体" w:eastAsia="宋体" w:cs="宋体"/>
          <w:color w:val="000000"/>
          <w:kern w:val="0"/>
          <w:sz w:val="21"/>
          <w:szCs w:val="21"/>
        </w:rPr>
        <w:t>本项目不允许转包。分包须经采购人书面同意后方可实施。</w:t>
      </w:r>
    </w:p>
    <w:p>
      <w:pPr>
        <w:numPr>
          <w:ilvl w:val="1"/>
          <w:numId w:val="3"/>
        </w:num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特别说明：</w:t>
      </w:r>
    </w:p>
    <w:p>
      <w:pPr>
        <w:numPr>
          <w:ilvl w:val="2"/>
          <w:numId w:val="3"/>
        </w:numPr>
        <w:snapToGrid w:val="0"/>
        <w:spacing w:line="360" w:lineRule="auto"/>
        <w:ind w:firstLine="480"/>
        <w:rPr>
          <w:rFonts w:ascii="宋体" w:hAnsi="宋体" w:eastAsia="宋体" w:cs="宋体"/>
          <w:sz w:val="21"/>
          <w:szCs w:val="21"/>
        </w:rPr>
      </w:pPr>
      <w:bookmarkStart w:id="70" w:name="_Toc3069"/>
      <w:bookmarkStart w:id="71" w:name="_Toc356371434"/>
      <w:bookmarkStart w:id="72" w:name="_Toc359856799"/>
      <w:r>
        <w:rPr>
          <w:rFonts w:hint="eastAsia" w:ascii="宋体" w:hAnsi="宋体" w:eastAsia="宋体" w:cs="宋体"/>
          <w:sz w:val="21"/>
          <w:szCs w:val="21"/>
        </w:rPr>
        <w:t>▲投标人投标所使用的资格、信誉、荣誉、业绩与企业认证必须为本法人所拥有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采购文件另有规定的除外</w:t>
      </w:r>
      <w:r>
        <w:rPr>
          <w:rFonts w:hint="eastAsia" w:ascii="宋体" w:hAnsi="宋体" w:eastAsia="宋体" w:cs="宋体"/>
          <w:sz w:val="21"/>
          <w:szCs w:val="21"/>
          <w:lang w:eastAsia="zh-CN"/>
        </w:rPr>
        <w:t>）</w:t>
      </w:r>
      <w:r>
        <w:rPr>
          <w:rFonts w:hint="eastAsia" w:ascii="宋体" w:hAnsi="宋体" w:eastAsia="宋体" w:cs="宋体"/>
          <w:sz w:val="21"/>
          <w:szCs w:val="21"/>
        </w:rPr>
        <w:t>。</w:t>
      </w:r>
    </w:p>
    <w:p>
      <w:pPr>
        <w:numPr>
          <w:ilvl w:val="2"/>
          <w:numId w:val="3"/>
        </w:numPr>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▲单位负责人为同一人或者存在直接控股、管理关系的不同供应商，</w:t>
      </w:r>
      <w:r>
        <w:rPr>
          <w:rFonts w:hint="eastAsia" w:ascii="宋体" w:hAnsi="宋体" w:eastAsia="宋体" w:cs="宋体"/>
          <w:color w:val="000000" w:themeColor="text1"/>
          <w:sz w:val="21"/>
          <w:szCs w:val="21"/>
          <w14:textFill>
            <w14:solidFill>
              <w14:schemeClr w14:val="tx1"/>
            </w14:solidFill>
          </w14:textFill>
        </w:rPr>
        <w:t>不得同时参加本项目投标。</w:t>
      </w:r>
    </w:p>
    <w:p>
      <w:pPr>
        <w:numPr>
          <w:ilvl w:val="2"/>
          <w:numId w:val="3"/>
        </w:numPr>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供应商获得中标候选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非单一产品采购项目，采购人应当根据采购项目技术构成、产品价格比重等合理确定核心产品，并在招标文件中载明。多家投标人提供的核心产品品牌相同的，按前款规定处理。</w:t>
      </w:r>
    </w:p>
    <w:p>
      <w:pPr>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8.4▲投标人应仔细阅读招标文件的所有内容，按照招标文件的要求提交投标文件，并对所提供的全部资料的真实性承担法律责任。</w:t>
      </w:r>
    </w:p>
    <w:p>
      <w:pPr>
        <w:snapToGrid w:val="0"/>
        <w:spacing w:line="360" w:lineRule="auto"/>
        <w:ind w:left="480" w:leftChars="200" w:firstLine="0" w:firstLineChars="0"/>
        <w:rPr>
          <w:rFonts w:ascii="宋体" w:hAnsi="宋体" w:eastAsia="宋体" w:cs="宋体"/>
          <w:sz w:val="21"/>
          <w:szCs w:val="21"/>
        </w:rPr>
      </w:pPr>
      <w:r>
        <w:rPr>
          <w:rFonts w:hint="eastAsia" w:ascii="宋体" w:hAnsi="宋体" w:eastAsia="宋体" w:cs="宋体"/>
          <w:sz w:val="21"/>
          <w:szCs w:val="21"/>
        </w:rPr>
        <w:t>8.5▲投标人在投标活动中提供任何虚假材料,其投标无效，并报监管部门查处。</w:t>
      </w:r>
    </w:p>
    <w:p>
      <w:pPr>
        <w:snapToGrid w:val="0"/>
        <w:spacing w:line="360" w:lineRule="auto"/>
        <w:ind w:firstLine="480"/>
        <w:rPr>
          <w:rFonts w:ascii="宋体" w:hAnsi="宋体" w:eastAsia="宋体" w:cs="宋体"/>
          <w:b/>
          <w:bCs/>
          <w:sz w:val="21"/>
          <w:szCs w:val="21"/>
        </w:rPr>
      </w:pPr>
      <w:r>
        <w:rPr>
          <w:rFonts w:hint="eastAsia" w:ascii="宋体" w:hAnsi="宋体" w:eastAsia="宋体" w:cs="宋体"/>
          <w:sz w:val="21"/>
          <w:szCs w:val="21"/>
        </w:rPr>
        <w:t>8.6▲中标后发现的,中标人须依照《中华人民共和国消费者权益保护法》第49条之规定双倍赔偿采购人，且民事赔偿并不免除违法投标人的行政与刑事责任。</w:t>
      </w:r>
    </w:p>
    <w:p>
      <w:pPr>
        <w:pStyle w:val="5"/>
        <w:spacing w:before="167" w:after="167" w:line="360" w:lineRule="auto"/>
        <w:ind w:firstLine="0" w:firstLineChars="0"/>
        <w:jc w:val="center"/>
        <w:rPr>
          <w:rFonts w:ascii="宋体" w:hAnsi="宋体" w:eastAsia="宋体" w:cs="宋体"/>
          <w:sz w:val="24"/>
          <w:szCs w:val="24"/>
        </w:rPr>
      </w:pPr>
      <w:bookmarkStart w:id="73" w:name="_Toc11684"/>
      <w:bookmarkStart w:id="74" w:name="_Toc20180"/>
      <w:bookmarkStart w:id="75" w:name="_Toc24640"/>
      <w:bookmarkStart w:id="76" w:name="_Toc24882"/>
      <w:bookmarkStart w:id="77" w:name="_Toc32535"/>
      <w:bookmarkStart w:id="78" w:name="_Toc13322"/>
      <w:r>
        <w:rPr>
          <w:rFonts w:hint="eastAsia" w:ascii="宋体" w:hAnsi="宋体" w:eastAsia="宋体" w:cs="宋体"/>
          <w:sz w:val="24"/>
          <w:szCs w:val="24"/>
        </w:rPr>
        <w:t>三、招标文件说明</w:t>
      </w:r>
      <w:bookmarkEnd w:id="70"/>
      <w:bookmarkEnd w:id="71"/>
      <w:bookmarkEnd w:id="72"/>
      <w:bookmarkEnd w:id="73"/>
      <w:bookmarkEnd w:id="74"/>
      <w:bookmarkEnd w:id="75"/>
      <w:bookmarkEnd w:id="76"/>
      <w:bookmarkEnd w:id="77"/>
      <w:bookmarkEnd w:id="78"/>
    </w:p>
    <w:p>
      <w:pPr>
        <w:numPr>
          <w:ilvl w:val="1"/>
          <w:numId w:val="4"/>
        </w:num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招标文件的组成</w:t>
      </w:r>
    </w:p>
    <w:p>
      <w:pPr>
        <w:numPr>
          <w:ilvl w:val="2"/>
          <w:numId w:val="4"/>
        </w:num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 xml:space="preserve"> 招标公告；</w:t>
      </w:r>
    </w:p>
    <w:p>
      <w:pPr>
        <w:numPr>
          <w:ilvl w:val="2"/>
          <w:numId w:val="4"/>
        </w:num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 xml:space="preserve"> 投标须知前附表及投标须知；</w:t>
      </w:r>
    </w:p>
    <w:p>
      <w:pPr>
        <w:numPr>
          <w:ilvl w:val="2"/>
          <w:numId w:val="4"/>
        </w:num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 xml:space="preserve"> 采购内容及要求；</w:t>
      </w:r>
    </w:p>
    <w:p>
      <w:pPr>
        <w:numPr>
          <w:ilvl w:val="2"/>
          <w:numId w:val="4"/>
        </w:num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 xml:space="preserve"> 合同主要条款；</w:t>
      </w:r>
    </w:p>
    <w:p>
      <w:pPr>
        <w:numPr>
          <w:ilvl w:val="2"/>
          <w:numId w:val="4"/>
        </w:num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 xml:space="preserve"> 应提交的有关格式范例；</w:t>
      </w:r>
    </w:p>
    <w:p>
      <w:pPr>
        <w:numPr>
          <w:ilvl w:val="2"/>
          <w:numId w:val="4"/>
        </w:num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 xml:space="preserve"> 评标办法及开评标程序。</w:t>
      </w:r>
    </w:p>
    <w:p>
      <w:pPr>
        <w:numPr>
          <w:ilvl w:val="1"/>
          <w:numId w:val="4"/>
        </w:num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招标文件的澄清及修改</w:t>
      </w:r>
    </w:p>
    <w:p>
      <w:pPr>
        <w:tabs>
          <w:tab w:val="left" w:pos="525"/>
        </w:tabs>
        <w:spacing w:line="360" w:lineRule="auto"/>
        <w:ind w:firstLine="480"/>
        <w:jc w:val="left"/>
        <w:rPr>
          <w:rFonts w:ascii="宋体" w:hAnsi="宋体" w:eastAsia="宋体" w:cs="宋体"/>
          <w:sz w:val="21"/>
          <w:szCs w:val="21"/>
        </w:rPr>
      </w:pPr>
      <w:bookmarkStart w:id="79" w:name="_Toc356371435"/>
      <w:bookmarkStart w:id="80" w:name="_Toc359856800"/>
      <w:r>
        <w:rPr>
          <w:rFonts w:hint="eastAsia" w:ascii="宋体" w:hAnsi="宋体" w:eastAsia="宋体" w:cs="宋体"/>
          <w:sz w:val="21"/>
          <w:szCs w:val="21"/>
        </w:rPr>
        <w:t>10.1任何要求对招标文件进行澄清的投标人，均应按招标公告中规定的时间和通讯地址，以书面形式（如信件、传真等）送达招标组织人，在规定时间内未收到质疑则视为各投标人均对此无异议。招标组织人对规定时间前收到的任何质疑将在龙游县水务集团有限公司网站公布澄清，投标人自行到网上查看。无论是采购人根据需要主动对招标文件进行必要的修改或是根据投标人的要求对招标文件做出答复（答复中不包括问题的来源），并视为本招标文件的组成部分。</w:t>
      </w:r>
    </w:p>
    <w:p>
      <w:pPr>
        <w:tabs>
          <w:tab w:val="left" w:pos="525"/>
        </w:tabs>
        <w:spacing w:line="360" w:lineRule="auto"/>
        <w:ind w:firstLine="480"/>
        <w:jc w:val="left"/>
        <w:rPr>
          <w:rFonts w:ascii="宋体" w:hAnsi="宋体" w:eastAsia="宋体" w:cs="宋体"/>
          <w:sz w:val="21"/>
          <w:szCs w:val="21"/>
        </w:rPr>
      </w:pPr>
      <w:r>
        <w:rPr>
          <w:rFonts w:hint="eastAsia" w:ascii="宋体" w:hAnsi="宋体" w:eastAsia="宋体" w:cs="宋体"/>
          <w:sz w:val="21"/>
          <w:szCs w:val="21"/>
        </w:rPr>
        <w:t>10.2因其他紧急情况影响本项目正常招标活动的，招标组织人将于投标截止日期5天前书面通知所有已报名的投标人。</w:t>
      </w:r>
    </w:p>
    <w:p>
      <w:pPr>
        <w:spacing w:line="360" w:lineRule="auto"/>
        <w:ind w:firstLine="480"/>
        <w:jc w:val="left"/>
        <w:rPr>
          <w:rFonts w:ascii="宋体" w:hAnsi="宋体" w:eastAsia="宋体" w:cs="宋体"/>
          <w:sz w:val="21"/>
          <w:szCs w:val="21"/>
        </w:rPr>
      </w:pPr>
      <w:r>
        <w:rPr>
          <w:rFonts w:hint="eastAsia" w:ascii="宋体" w:hAnsi="宋体" w:eastAsia="宋体" w:cs="宋体"/>
          <w:sz w:val="21"/>
          <w:szCs w:val="21"/>
        </w:rPr>
        <w:t>10.3不论采购人向投标人发送的资料文件，还是投标人提出的问题，均通过龙游县水务集团有限公司网站发布，任何口头提问及答复一律无效。</w:t>
      </w:r>
    </w:p>
    <w:p>
      <w:pPr>
        <w:spacing w:line="360" w:lineRule="auto"/>
        <w:ind w:firstLine="480"/>
        <w:jc w:val="left"/>
        <w:rPr>
          <w:rFonts w:ascii="宋体" w:hAnsi="宋体" w:eastAsia="宋体" w:cs="宋体"/>
          <w:sz w:val="21"/>
          <w:szCs w:val="21"/>
        </w:rPr>
      </w:pPr>
      <w:r>
        <w:rPr>
          <w:rFonts w:hint="eastAsia" w:ascii="宋体" w:hAnsi="宋体" w:eastAsia="宋体" w:cs="宋体"/>
          <w:sz w:val="21"/>
          <w:szCs w:val="21"/>
        </w:rPr>
        <w:t>10.4当招标文件、澄清（答疑）纪要内容相互矛盾时，以最后发出的通知（或纪要）或修改文件为准。</w:t>
      </w:r>
    </w:p>
    <w:p>
      <w:pPr>
        <w:spacing w:line="360" w:lineRule="auto"/>
        <w:ind w:firstLine="480"/>
        <w:jc w:val="left"/>
        <w:rPr>
          <w:rFonts w:ascii="宋体" w:hAnsi="宋体" w:eastAsia="宋体" w:cs="宋体"/>
          <w:sz w:val="21"/>
          <w:szCs w:val="21"/>
        </w:rPr>
      </w:pPr>
      <w:r>
        <w:rPr>
          <w:rFonts w:hint="eastAsia" w:ascii="宋体" w:hAnsi="宋体" w:eastAsia="宋体" w:cs="宋体"/>
          <w:sz w:val="21"/>
          <w:szCs w:val="21"/>
        </w:rPr>
        <w:t>10.5若有必要，采购人将酌情延长递交投标文件的截止日期。</w:t>
      </w:r>
    </w:p>
    <w:p>
      <w:pPr>
        <w:pStyle w:val="5"/>
        <w:spacing w:before="167" w:after="167" w:line="360" w:lineRule="auto"/>
        <w:ind w:firstLine="0" w:firstLineChars="0"/>
        <w:jc w:val="center"/>
        <w:rPr>
          <w:rFonts w:ascii="宋体" w:hAnsi="宋体" w:eastAsia="宋体" w:cs="宋体"/>
          <w:sz w:val="24"/>
          <w:szCs w:val="24"/>
        </w:rPr>
      </w:pPr>
      <w:bookmarkStart w:id="81" w:name="_Toc29136"/>
      <w:bookmarkStart w:id="82" w:name="_Toc20346"/>
      <w:bookmarkStart w:id="83" w:name="_Toc27341"/>
      <w:bookmarkStart w:id="84" w:name="_Toc28075"/>
      <w:bookmarkStart w:id="85" w:name="_Toc21596"/>
      <w:bookmarkStart w:id="86" w:name="_Toc20774"/>
      <w:bookmarkStart w:id="87" w:name="_Toc4253"/>
      <w:r>
        <w:rPr>
          <w:rFonts w:hint="eastAsia" w:ascii="宋体" w:hAnsi="宋体" w:eastAsia="宋体" w:cs="宋体"/>
          <w:sz w:val="24"/>
          <w:szCs w:val="24"/>
        </w:rPr>
        <w:t>四、投标文件的编制</w:t>
      </w:r>
      <w:bookmarkEnd w:id="79"/>
      <w:bookmarkEnd w:id="80"/>
      <w:bookmarkEnd w:id="81"/>
      <w:bookmarkEnd w:id="82"/>
      <w:bookmarkEnd w:id="83"/>
      <w:bookmarkEnd w:id="84"/>
      <w:bookmarkEnd w:id="85"/>
      <w:bookmarkEnd w:id="86"/>
      <w:bookmarkEnd w:id="87"/>
    </w:p>
    <w:p>
      <w:pPr>
        <w:numPr>
          <w:ilvl w:val="1"/>
          <w:numId w:val="5"/>
        </w:num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总体要求</w:t>
      </w:r>
    </w:p>
    <w:p>
      <w:pPr>
        <w:numPr>
          <w:ilvl w:val="2"/>
          <w:numId w:val="5"/>
        </w:num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供应商应仔细阅读招标文件的所有内容，按本文件的要求提供投标文件，并保证所提供的全部资料的真实性，以使其投标文件对招标文件作出实质性响应，</w:t>
      </w:r>
      <w:r>
        <w:rPr>
          <w:rFonts w:hint="eastAsia" w:ascii="宋体" w:hAnsi="宋体" w:eastAsia="宋体" w:cs="宋体"/>
          <w:color w:val="000000"/>
          <w:kern w:val="0"/>
          <w:sz w:val="21"/>
          <w:szCs w:val="21"/>
        </w:rPr>
        <w:t>否则，投标文件可能视为无效投标文件</w:t>
      </w:r>
      <w:r>
        <w:rPr>
          <w:rFonts w:hint="eastAsia" w:ascii="宋体" w:hAnsi="宋体" w:eastAsia="宋体" w:cs="宋体"/>
          <w:color w:val="000000"/>
          <w:sz w:val="21"/>
          <w:szCs w:val="21"/>
        </w:rPr>
        <w:t>。</w:t>
      </w:r>
    </w:p>
    <w:p>
      <w:pPr>
        <w:numPr>
          <w:ilvl w:val="2"/>
          <w:numId w:val="5"/>
        </w:num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投标文件及供应商与采购有关的来往通知，函件和文件均应使用中文。</w:t>
      </w:r>
    </w:p>
    <w:p>
      <w:pPr>
        <w:numPr>
          <w:ilvl w:val="2"/>
          <w:numId w:val="5"/>
        </w:num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供应商应按本文件中提供的文件格式、内容和要求制作投标文件。投标文件建议采用胶装装订成册。</w:t>
      </w:r>
    </w:p>
    <w:p>
      <w:pPr>
        <w:numPr>
          <w:ilvl w:val="1"/>
          <w:numId w:val="5"/>
        </w:num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投标文件的组成及份数</w:t>
      </w:r>
    </w:p>
    <w:p>
      <w:pPr>
        <w:tabs>
          <w:tab w:val="left" w:pos="0"/>
          <w:tab w:val="left" w:pos="900"/>
          <w:tab w:val="left" w:pos="7020"/>
          <w:tab w:val="left" w:pos="8460"/>
        </w:tabs>
        <w:snapToGrid w:val="0"/>
        <w:spacing w:line="360" w:lineRule="auto"/>
        <w:ind w:firstLine="482"/>
        <w:rPr>
          <w:rFonts w:ascii="宋体" w:hAnsi="宋体" w:eastAsia="宋体" w:cs="宋体"/>
          <w:b/>
          <w:bCs/>
          <w:sz w:val="21"/>
          <w:szCs w:val="21"/>
        </w:rPr>
      </w:pPr>
      <w:r>
        <w:rPr>
          <w:rFonts w:hint="eastAsia" w:ascii="宋体" w:hAnsi="宋体" w:eastAsia="宋体" w:cs="宋体"/>
          <w:b/>
          <w:bCs/>
          <w:color w:val="000000"/>
          <w:sz w:val="21"/>
          <w:szCs w:val="21"/>
        </w:rPr>
        <w:t>▲</w:t>
      </w:r>
      <w:r>
        <w:rPr>
          <w:rFonts w:hint="eastAsia" w:ascii="宋体" w:hAnsi="宋体" w:eastAsia="宋体" w:cs="宋体"/>
          <w:b/>
          <w:bCs/>
          <w:sz w:val="21"/>
          <w:szCs w:val="21"/>
        </w:rPr>
        <w:t>投标文件由资格</w:t>
      </w:r>
      <w:r>
        <w:rPr>
          <w:rFonts w:hint="eastAsia" w:ascii="宋体" w:hAnsi="宋体" w:eastAsia="宋体" w:cs="宋体"/>
          <w:b/>
          <w:bCs/>
          <w:sz w:val="21"/>
          <w:szCs w:val="21"/>
          <w:lang w:val="en-US" w:eastAsia="zh-CN"/>
        </w:rPr>
        <w:t>审查</w:t>
      </w:r>
      <w:r>
        <w:rPr>
          <w:rFonts w:hint="eastAsia" w:ascii="宋体" w:hAnsi="宋体" w:eastAsia="宋体" w:cs="宋体"/>
          <w:b/>
          <w:bCs/>
          <w:sz w:val="21"/>
          <w:szCs w:val="21"/>
        </w:rPr>
        <w:t>文件、资信文件和报价文件三部分组成</w:t>
      </w:r>
    </w:p>
    <w:p>
      <w:pPr>
        <w:pStyle w:val="57"/>
        <w:spacing w:beforeLines="0" w:after="167" w:line="360" w:lineRule="auto"/>
        <w:ind w:firstLine="482"/>
        <w:rPr>
          <w:rFonts w:ascii="宋体" w:hAnsi="宋体" w:eastAsia="宋体" w:cs="宋体"/>
          <w:kern w:val="2"/>
          <w:sz w:val="21"/>
          <w:szCs w:val="21"/>
          <w:lang w:val="en-US"/>
        </w:rPr>
      </w:pPr>
      <w:bookmarkStart w:id="88" w:name="_Toc12840"/>
      <w:bookmarkStart w:id="89" w:name="_Toc1313"/>
      <w:r>
        <w:rPr>
          <w:rFonts w:hint="eastAsia" w:ascii="宋体" w:hAnsi="宋体" w:eastAsia="宋体" w:cs="宋体"/>
          <w:kern w:val="2"/>
          <w:sz w:val="21"/>
          <w:szCs w:val="21"/>
          <w:lang w:val="en-US"/>
        </w:rPr>
        <w:t>12.1资格</w:t>
      </w:r>
      <w:r>
        <w:rPr>
          <w:rFonts w:hint="eastAsia" w:ascii="宋体" w:hAnsi="宋体" w:eastAsia="宋体" w:cs="宋体"/>
          <w:kern w:val="2"/>
          <w:sz w:val="21"/>
          <w:szCs w:val="21"/>
          <w:lang w:val="en-US" w:eastAsia="zh-CN"/>
        </w:rPr>
        <w:t>审查</w:t>
      </w:r>
      <w:r>
        <w:rPr>
          <w:rFonts w:hint="eastAsia" w:ascii="宋体" w:hAnsi="宋体" w:eastAsia="宋体" w:cs="宋体"/>
          <w:kern w:val="2"/>
          <w:sz w:val="21"/>
          <w:szCs w:val="21"/>
          <w:lang w:val="en-US"/>
        </w:rPr>
        <w:t>文件</w:t>
      </w:r>
      <w:bookmarkEnd w:id="88"/>
      <w:bookmarkEnd w:id="89"/>
    </w:p>
    <w:tbl>
      <w:tblPr>
        <w:tblStyle w:val="38"/>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4220"/>
        <w:gridCol w:w="4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97" w:type="dxa"/>
            <w:vAlign w:val="center"/>
          </w:tcPr>
          <w:p>
            <w:pPr>
              <w:adjustRightInd w:val="0"/>
              <w:snapToGrid w:val="0"/>
              <w:spacing w:line="360" w:lineRule="auto"/>
              <w:ind w:firstLine="0" w:firstLineChars="0"/>
              <w:jc w:val="left"/>
              <w:rPr>
                <w:rFonts w:ascii="Arial" w:hAnsi="Arial" w:cs="Arial"/>
                <w:sz w:val="21"/>
                <w:szCs w:val="21"/>
              </w:rPr>
            </w:pPr>
            <w:r>
              <w:rPr>
                <w:rFonts w:hint="eastAsia" w:ascii="宋体" w:hAnsi="宋体" w:eastAsia="宋体" w:cs="宋体"/>
                <w:color w:val="000000"/>
                <w:sz w:val="21"/>
                <w:szCs w:val="21"/>
              </w:rPr>
              <w:t>序号</w:t>
            </w:r>
          </w:p>
        </w:tc>
        <w:tc>
          <w:tcPr>
            <w:tcW w:w="4220" w:type="dxa"/>
            <w:vAlign w:val="center"/>
          </w:tcPr>
          <w:p>
            <w:pPr>
              <w:adjustRightInd w:val="0"/>
              <w:snapToGrid w:val="0"/>
              <w:spacing w:line="360" w:lineRule="auto"/>
              <w:ind w:firstLine="480"/>
              <w:jc w:val="left"/>
              <w:rPr>
                <w:rFonts w:ascii="宋体" w:hAnsi="宋体" w:eastAsia="宋体" w:cs="宋体"/>
                <w:color w:val="000000"/>
                <w:sz w:val="21"/>
                <w:szCs w:val="21"/>
              </w:rPr>
            </w:pPr>
            <w:r>
              <w:rPr>
                <w:rFonts w:hint="eastAsia" w:ascii="宋体" w:hAnsi="宋体" w:eastAsia="宋体" w:cs="宋体"/>
                <w:color w:val="000000"/>
                <w:sz w:val="21"/>
                <w:szCs w:val="21"/>
              </w:rPr>
              <w:t>资格条件</w:t>
            </w:r>
          </w:p>
        </w:tc>
        <w:tc>
          <w:tcPr>
            <w:tcW w:w="4237" w:type="dxa"/>
            <w:vAlign w:val="center"/>
          </w:tcPr>
          <w:p>
            <w:pPr>
              <w:adjustRightInd w:val="0"/>
              <w:snapToGrid w:val="0"/>
              <w:spacing w:line="360" w:lineRule="auto"/>
              <w:ind w:firstLine="480"/>
              <w:jc w:val="left"/>
              <w:rPr>
                <w:rFonts w:ascii="宋体" w:hAnsi="宋体" w:eastAsia="宋体" w:cs="宋体"/>
                <w:color w:val="000000"/>
                <w:sz w:val="21"/>
                <w:szCs w:val="21"/>
              </w:rPr>
            </w:pPr>
            <w:r>
              <w:rPr>
                <w:rFonts w:hint="eastAsia" w:ascii="宋体" w:hAnsi="宋体" w:eastAsia="宋体" w:cs="宋体"/>
                <w:color w:val="000000"/>
                <w:sz w:val="21"/>
                <w:szCs w:val="21"/>
              </w:rPr>
              <w:t>应提供的资格审查资料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vAlign w:val="center"/>
          </w:tcPr>
          <w:p>
            <w:pPr>
              <w:adjustRightInd w:val="0"/>
              <w:snapToGrid w:val="0"/>
              <w:spacing w:line="360" w:lineRule="auto"/>
              <w:ind w:firstLine="0" w:firstLineChars="0"/>
              <w:jc w:val="center"/>
              <w:rPr>
                <w:rFonts w:ascii="Arial" w:hAnsi="Arial" w:cs="Arial"/>
                <w:sz w:val="21"/>
                <w:szCs w:val="21"/>
              </w:rPr>
            </w:pPr>
            <w:r>
              <w:rPr>
                <w:rFonts w:ascii="Arial" w:hAnsi="Arial" w:cs="Arial"/>
                <w:sz w:val="21"/>
                <w:szCs w:val="21"/>
              </w:rPr>
              <w:t>1.</w:t>
            </w:r>
          </w:p>
        </w:tc>
        <w:tc>
          <w:tcPr>
            <w:tcW w:w="4220" w:type="dxa"/>
            <w:vAlign w:val="center"/>
          </w:tcPr>
          <w:p>
            <w:pPr>
              <w:adjustRightInd w:val="0"/>
              <w:snapToGrid w:val="0"/>
              <w:spacing w:line="360" w:lineRule="auto"/>
              <w:ind w:firstLine="482"/>
              <w:jc w:val="left"/>
              <w:rPr>
                <w:rFonts w:ascii="Arial" w:hAnsi="Arial" w:cs="Arial"/>
                <w:sz w:val="21"/>
                <w:szCs w:val="21"/>
              </w:rPr>
            </w:pPr>
            <w:r>
              <w:rPr>
                <w:rFonts w:ascii="Arial" w:hAnsi="Arial" w:cs="Arial"/>
                <w:b/>
                <w:bCs/>
                <w:kern w:val="0"/>
                <w:sz w:val="21"/>
                <w:szCs w:val="21"/>
              </w:rPr>
              <w:t>基本资格要求：</w:t>
            </w:r>
          </w:p>
        </w:tc>
        <w:tc>
          <w:tcPr>
            <w:tcW w:w="4237" w:type="dxa"/>
            <w:vAlign w:val="center"/>
          </w:tcPr>
          <w:p>
            <w:pPr>
              <w:adjustRightInd w:val="0"/>
              <w:snapToGrid w:val="0"/>
              <w:spacing w:line="360" w:lineRule="auto"/>
              <w:ind w:firstLine="480"/>
              <w:jc w:val="left"/>
              <w:rPr>
                <w:rFonts w:ascii="Arial" w:hAnsi="Arial" w:cs="Arial"/>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897" w:type="dxa"/>
            <w:vAlign w:val="center"/>
          </w:tcPr>
          <w:p>
            <w:pPr>
              <w:adjustRightInd w:val="0"/>
              <w:snapToGrid w:val="0"/>
              <w:spacing w:line="36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4220" w:type="dxa"/>
            <w:vAlign w:val="center"/>
          </w:tcPr>
          <w:p>
            <w:pPr>
              <w:adjustRightInd w:val="0"/>
              <w:snapToGrid w:val="0"/>
              <w:spacing w:line="36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具有独立承担民事责任的能力；</w:t>
            </w:r>
          </w:p>
        </w:tc>
        <w:tc>
          <w:tcPr>
            <w:tcW w:w="4237" w:type="dxa"/>
            <w:vAlign w:val="center"/>
          </w:tcPr>
          <w:p>
            <w:pPr>
              <w:adjustRightInd w:val="0"/>
              <w:snapToGrid w:val="0"/>
              <w:spacing w:line="36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1）营业执照（或事业法人登记证或其他工商等登记证明材料）复印件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vAlign w:val="center"/>
          </w:tcPr>
          <w:p>
            <w:pPr>
              <w:adjustRightInd w:val="0"/>
              <w:snapToGrid w:val="0"/>
              <w:spacing w:line="36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4220" w:type="dxa"/>
            <w:vAlign w:val="center"/>
          </w:tcPr>
          <w:p>
            <w:pPr>
              <w:adjustRightInd w:val="0"/>
              <w:snapToGrid w:val="0"/>
              <w:spacing w:line="36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具有良好的商业信誉和健全的财务会计制度；</w:t>
            </w:r>
          </w:p>
        </w:tc>
        <w:tc>
          <w:tcPr>
            <w:tcW w:w="4237" w:type="dxa"/>
            <w:vAlign w:val="center"/>
          </w:tcPr>
          <w:p>
            <w:pPr>
              <w:adjustRightInd w:val="0"/>
              <w:snapToGrid w:val="0"/>
              <w:spacing w:line="36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2）具有良好商业信誉和健全的财务会计制度的声明函；【声明函1】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vAlign w:val="center"/>
          </w:tcPr>
          <w:p>
            <w:pPr>
              <w:adjustRightInd w:val="0"/>
              <w:snapToGrid w:val="0"/>
              <w:spacing w:line="36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4220" w:type="dxa"/>
            <w:vAlign w:val="center"/>
          </w:tcPr>
          <w:p>
            <w:pPr>
              <w:adjustRightInd w:val="0"/>
              <w:snapToGrid w:val="0"/>
              <w:spacing w:line="36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具有履行合同所必需的设备和专业技术能力；</w:t>
            </w:r>
          </w:p>
        </w:tc>
        <w:tc>
          <w:tcPr>
            <w:tcW w:w="4237" w:type="dxa"/>
            <w:vAlign w:val="center"/>
          </w:tcPr>
          <w:p>
            <w:pPr>
              <w:adjustRightInd w:val="0"/>
              <w:snapToGrid w:val="0"/>
              <w:spacing w:line="36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3）具有履行合同所必需的设备和专业技术能力的声明函；【声明函2】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97" w:type="dxa"/>
            <w:vAlign w:val="center"/>
          </w:tcPr>
          <w:p>
            <w:pPr>
              <w:adjustRightInd w:val="0"/>
              <w:snapToGrid w:val="0"/>
              <w:spacing w:line="36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（4）</w:t>
            </w:r>
          </w:p>
        </w:tc>
        <w:tc>
          <w:tcPr>
            <w:tcW w:w="4220" w:type="dxa"/>
            <w:vAlign w:val="center"/>
          </w:tcPr>
          <w:p>
            <w:pPr>
              <w:adjustRightInd w:val="0"/>
              <w:snapToGrid w:val="0"/>
              <w:spacing w:line="360" w:lineRule="auto"/>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具有依法缴纳税收和社会保障资金的良好记录；</w:t>
            </w:r>
          </w:p>
        </w:tc>
        <w:tc>
          <w:tcPr>
            <w:tcW w:w="4237" w:type="dxa"/>
            <w:vAlign w:val="center"/>
          </w:tcPr>
          <w:p>
            <w:pPr>
              <w:adjustRightInd w:val="0"/>
              <w:snapToGrid w:val="0"/>
              <w:spacing w:line="36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4）依法缴纳税收和社会保障资金良好记录的声明函【声明函3】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vAlign w:val="center"/>
          </w:tcPr>
          <w:p>
            <w:pPr>
              <w:adjustRightInd w:val="0"/>
              <w:snapToGrid w:val="0"/>
              <w:spacing w:line="36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（5）</w:t>
            </w:r>
          </w:p>
        </w:tc>
        <w:tc>
          <w:tcPr>
            <w:tcW w:w="4220" w:type="dxa"/>
            <w:vAlign w:val="center"/>
          </w:tcPr>
          <w:p>
            <w:pPr>
              <w:adjustRightInd w:val="0"/>
              <w:snapToGrid w:val="0"/>
              <w:spacing w:line="360" w:lineRule="auto"/>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参加政府采购活动前三年内，在经营活动中没有重大违法记录；</w:t>
            </w:r>
          </w:p>
        </w:tc>
        <w:tc>
          <w:tcPr>
            <w:tcW w:w="4237" w:type="dxa"/>
            <w:vAlign w:val="center"/>
          </w:tcPr>
          <w:p>
            <w:pPr>
              <w:adjustRightInd w:val="0"/>
              <w:snapToGrid w:val="0"/>
              <w:spacing w:line="36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5）没有重大违法记录的声明函【声明函4】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vAlign w:val="center"/>
          </w:tcPr>
          <w:p>
            <w:pPr>
              <w:adjustRightInd w:val="0"/>
              <w:snapToGrid w:val="0"/>
              <w:spacing w:line="36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（6）</w:t>
            </w:r>
          </w:p>
        </w:tc>
        <w:tc>
          <w:tcPr>
            <w:tcW w:w="4220" w:type="dxa"/>
            <w:vAlign w:val="center"/>
          </w:tcPr>
          <w:p>
            <w:pPr>
              <w:adjustRightInd w:val="0"/>
              <w:snapToGrid w:val="0"/>
              <w:spacing w:line="36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未被“信用中国”（www.creditchina.gov.cn）、中国政府采购网（www.ccgp.gov.cn）列入失信被执行人、重大税收违法案件当事人名单、政府采购严重违法失信行为记录名单。</w:t>
            </w:r>
          </w:p>
        </w:tc>
        <w:tc>
          <w:tcPr>
            <w:tcW w:w="4237" w:type="dxa"/>
            <w:vAlign w:val="center"/>
          </w:tcPr>
          <w:p>
            <w:pPr>
              <w:adjustRightInd w:val="0"/>
              <w:snapToGrid w:val="0"/>
              <w:spacing w:line="36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6）无违法失信的声明函。【声明函5】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97" w:type="dxa"/>
            <w:vAlign w:val="center"/>
          </w:tcPr>
          <w:p>
            <w:pPr>
              <w:adjustRightInd w:val="0"/>
              <w:snapToGrid w:val="0"/>
              <w:spacing w:line="360" w:lineRule="auto"/>
              <w:ind w:firstLine="482"/>
              <w:jc w:val="left"/>
              <w:rPr>
                <w:rFonts w:ascii="Arial" w:hAnsi="Arial" w:cs="Arial"/>
                <w:b/>
                <w:bCs/>
                <w:kern w:val="0"/>
                <w:sz w:val="21"/>
                <w:szCs w:val="21"/>
              </w:rPr>
            </w:pPr>
            <w:r>
              <w:rPr>
                <w:rFonts w:hint="eastAsia" w:ascii="Arial" w:hAnsi="Arial" w:cs="Arial"/>
                <w:b/>
                <w:bCs/>
                <w:kern w:val="0"/>
                <w:sz w:val="21"/>
                <w:szCs w:val="21"/>
              </w:rPr>
              <w:t>2.</w:t>
            </w:r>
          </w:p>
        </w:tc>
        <w:tc>
          <w:tcPr>
            <w:tcW w:w="4220" w:type="dxa"/>
            <w:vAlign w:val="center"/>
          </w:tcPr>
          <w:p>
            <w:pPr>
              <w:adjustRightInd w:val="0"/>
              <w:snapToGrid w:val="0"/>
              <w:spacing w:line="360" w:lineRule="auto"/>
              <w:ind w:firstLine="482"/>
              <w:jc w:val="left"/>
              <w:rPr>
                <w:rFonts w:ascii="Arial" w:hAnsi="Arial" w:cs="Arial"/>
                <w:b/>
                <w:bCs/>
                <w:kern w:val="0"/>
                <w:sz w:val="21"/>
                <w:szCs w:val="21"/>
              </w:rPr>
            </w:pPr>
            <w:r>
              <w:rPr>
                <w:rFonts w:hint="eastAsia" w:ascii="Arial" w:hAnsi="Arial" w:cs="Arial"/>
                <w:b/>
                <w:bCs/>
                <w:kern w:val="0"/>
                <w:sz w:val="21"/>
                <w:szCs w:val="21"/>
              </w:rPr>
              <w:t>特定资格要求：</w:t>
            </w:r>
          </w:p>
        </w:tc>
        <w:tc>
          <w:tcPr>
            <w:tcW w:w="4237" w:type="dxa"/>
            <w:vAlign w:val="center"/>
          </w:tcPr>
          <w:p>
            <w:pPr>
              <w:adjustRightInd w:val="0"/>
              <w:snapToGrid w:val="0"/>
              <w:spacing w:line="360" w:lineRule="auto"/>
              <w:ind w:firstLine="0" w:firstLineChars="0"/>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97" w:type="dxa"/>
            <w:vAlign w:val="center"/>
          </w:tcPr>
          <w:p>
            <w:pPr>
              <w:adjustRightInd w:val="0"/>
              <w:snapToGrid w:val="0"/>
              <w:spacing w:line="36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4220" w:type="dxa"/>
            <w:vAlign w:val="center"/>
          </w:tcPr>
          <w:p>
            <w:pPr>
              <w:adjustRightInd w:val="0"/>
              <w:snapToGrid w:val="0"/>
              <w:spacing w:line="360" w:lineRule="auto"/>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单位负责人为同一人或者存在直接控股、管理关系的不同供应商，</w:t>
            </w:r>
            <w:r>
              <w:rPr>
                <w:rFonts w:hint="eastAsia" w:ascii="宋体" w:hAnsi="宋体" w:eastAsia="宋体" w:cs="宋体"/>
                <w:sz w:val="21"/>
                <w:szCs w:val="21"/>
              </w:rPr>
              <w:t>不得同时参加本项目投标；</w:t>
            </w:r>
          </w:p>
        </w:tc>
        <w:tc>
          <w:tcPr>
            <w:tcW w:w="4237" w:type="dxa"/>
            <w:vAlign w:val="center"/>
          </w:tcPr>
          <w:p>
            <w:pPr>
              <w:adjustRightInd w:val="0"/>
              <w:snapToGrid w:val="0"/>
              <w:spacing w:line="36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7）与其他供应商无利害关系的声明函。【声明函6】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vAlign w:val="center"/>
          </w:tcPr>
          <w:p>
            <w:pPr>
              <w:adjustRightInd w:val="0"/>
              <w:snapToGrid w:val="0"/>
              <w:spacing w:line="36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4220" w:type="dxa"/>
            <w:vAlign w:val="center"/>
          </w:tcPr>
          <w:p>
            <w:pPr>
              <w:adjustRightInd w:val="0"/>
              <w:snapToGrid w:val="0"/>
              <w:spacing w:line="360" w:lineRule="auto"/>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不是公益一类事业单位、使用事业编制且由财政拨款保障的群团组织。</w:t>
            </w:r>
          </w:p>
        </w:tc>
        <w:tc>
          <w:tcPr>
            <w:tcW w:w="4237" w:type="dxa"/>
            <w:vAlign w:val="center"/>
          </w:tcPr>
          <w:p>
            <w:pPr>
              <w:adjustRightInd w:val="0"/>
              <w:snapToGrid w:val="0"/>
              <w:spacing w:line="36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8）单位组织形式声明函。【声明函7】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97" w:type="dxa"/>
            <w:vAlign w:val="center"/>
          </w:tcPr>
          <w:p>
            <w:pPr>
              <w:adjustRightInd w:val="0"/>
              <w:snapToGrid w:val="0"/>
              <w:spacing w:line="36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4220" w:type="dxa"/>
            <w:vAlign w:val="center"/>
          </w:tcPr>
          <w:p>
            <w:pPr>
              <w:adjustRightInd w:val="0"/>
              <w:snapToGrid w:val="0"/>
              <w:spacing w:line="360" w:lineRule="auto"/>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非联合体。</w:t>
            </w:r>
          </w:p>
        </w:tc>
        <w:tc>
          <w:tcPr>
            <w:tcW w:w="4237" w:type="dxa"/>
            <w:vAlign w:val="center"/>
          </w:tcPr>
          <w:p>
            <w:pPr>
              <w:adjustRightInd w:val="0"/>
              <w:snapToGrid w:val="0"/>
              <w:spacing w:line="36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9）非联合体的声明函。【声明函8】</w:t>
            </w:r>
          </w:p>
        </w:tc>
      </w:tr>
    </w:tbl>
    <w:p>
      <w:pPr>
        <w:tabs>
          <w:tab w:val="left" w:pos="0"/>
          <w:tab w:val="left" w:pos="900"/>
          <w:tab w:val="left" w:pos="7020"/>
          <w:tab w:val="left" w:pos="8460"/>
        </w:tabs>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上述资格条件审查材料有一项不提供或提供无效的，视为资格审查不通过，不进入后续评审。</w:t>
      </w:r>
    </w:p>
    <w:p>
      <w:pPr>
        <w:pStyle w:val="33"/>
        <w:widowControl w:val="0"/>
        <w:tabs>
          <w:tab w:val="left" w:pos="0"/>
        </w:tabs>
        <w:adjustRightInd w:val="0"/>
        <w:snapToGrid w:val="0"/>
        <w:spacing w:before="167" w:beforeLines="50" w:line="360" w:lineRule="auto"/>
        <w:ind w:left="480" w:leftChars="200" w:firstLine="0" w:firstLineChars="0"/>
        <w:jc w:val="both"/>
        <w:rPr>
          <w:rFonts w:hint="eastAsia" w:ascii="宋体" w:hAnsi="宋体" w:eastAsia="宋体" w:cs="宋体"/>
          <w:b/>
          <w:bCs/>
          <w:sz w:val="21"/>
          <w:szCs w:val="21"/>
        </w:rPr>
      </w:pPr>
      <w:r>
        <w:rPr>
          <w:rFonts w:hint="eastAsia" w:ascii="宋体" w:hAnsi="宋体" w:eastAsia="宋体" w:cs="宋体"/>
          <w:b/>
          <w:bCs/>
          <w:sz w:val="21"/>
          <w:szCs w:val="21"/>
        </w:rPr>
        <w:t>12.2资信</w:t>
      </w:r>
      <w:r>
        <w:rPr>
          <w:rFonts w:hint="eastAsia" w:ascii="宋体" w:hAnsi="宋体" w:eastAsia="宋体" w:cs="宋体"/>
          <w:b/>
          <w:bCs/>
          <w:sz w:val="21"/>
          <w:szCs w:val="21"/>
          <w:lang w:val="en-US" w:eastAsia="zh-CN"/>
        </w:rPr>
        <w:t>技术</w:t>
      </w:r>
      <w:r>
        <w:rPr>
          <w:rFonts w:hint="eastAsia" w:ascii="宋体" w:hAnsi="宋体" w:eastAsia="宋体" w:cs="宋体"/>
          <w:b/>
          <w:bCs/>
          <w:sz w:val="21"/>
          <w:szCs w:val="21"/>
        </w:rPr>
        <w:t>文件，包括但不限于下列内容：</w:t>
      </w:r>
    </w:p>
    <w:p>
      <w:pPr>
        <w:snapToGrid w:val="0"/>
        <w:spacing w:line="360" w:lineRule="auto"/>
        <w:ind w:left="480" w:leftChars="200" w:firstLine="0" w:firstLineChars="0"/>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A．资信部分</w:t>
      </w:r>
    </w:p>
    <w:p>
      <w:pPr>
        <w:snapToGrid w:val="0"/>
        <w:spacing w:line="360" w:lineRule="auto"/>
        <w:ind w:left="480" w:leftChars="200" w:firstLine="0" w:firstLineChars="0"/>
        <w:rPr>
          <w:rFonts w:hint="eastAsia" w:ascii="宋体" w:hAnsi="宋体" w:eastAsia="宋体" w:cs="宋体"/>
          <w:sz w:val="21"/>
          <w:szCs w:val="21"/>
          <w:lang w:val="zh-CN"/>
        </w:rPr>
      </w:pPr>
      <w:r>
        <w:rPr>
          <w:rFonts w:hint="eastAsia" w:ascii="宋体" w:hAnsi="宋体" w:eastAsia="宋体" w:cs="宋体"/>
          <w:sz w:val="21"/>
          <w:szCs w:val="21"/>
        </w:rPr>
        <w:t>（1）</w:t>
      </w:r>
      <w:r>
        <w:rPr>
          <w:rFonts w:hint="eastAsia" w:ascii="宋体" w:hAnsi="宋体" w:eastAsia="宋体" w:cs="宋体"/>
          <w:sz w:val="21"/>
          <w:szCs w:val="21"/>
          <w:lang w:val="zh-CN"/>
        </w:rPr>
        <w:t>法定代表人资格证明书（格式</w:t>
      </w:r>
      <w:r>
        <w:rPr>
          <w:rFonts w:hint="eastAsia" w:ascii="宋体" w:hAnsi="宋体" w:eastAsia="宋体" w:cs="宋体"/>
          <w:sz w:val="21"/>
          <w:szCs w:val="21"/>
        </w:rPr>
        <w:t>1-1</w:t>
      </w:r>
      <w:r>
        <w:rPr>
          <w:rFonts w:hint="eastAsia" w:ascii="宋体" w:hAnsi="宋体" w:eastAsia="宋体" w:cs="宋体"/>
          <w:sz w:val="21"/>
          <w:szCs w:val="21"/>
          <w:lang w:val="zh-CN"/>
        </w:rPr>
        <w:t>）</w:t>
      </w:r>
    </w:p>
    <w:p>
      <w:pPr>
        <w:snapToGrid w:val="0"/>
        <w:spacing w:line="360" w:lineRule="auto"/>
        <w:ind w:left="480" w:leftChars="200" w:firstLine="0" w:firstLineChars="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2</w:t>
      </w:r>
      <w:r>
        <w:rPr>
          <w:rFonts w:hint="eastAsia" w:ascii="宋体" w:hAnsi="宋体" w:eastAsia="宋体" w:cs="宋体"/>
          <w:sz w:val="21"/>
          <w:szCs w:val="21"/>
          <w:lang w:val="zh-CN"/>
        </w:rPr>
        <w:t>）法定代表人授权书（格式</w:t>
      </w:r>
      <w:r>
        <w:rPr>
          <w:rFonts w:hint="eastAsia" w:ascii="宋体" w:hAnsi="宋体" w:eastAsia="宋体" w:cs="宋体"/>
          <w:sz w:val="21"/>
          <w:szCs w:val="21"/>
        </w:rPr>
        <w:t>1-2</w:t>
      </w:r>
      <w:r>
        <w:rPr>
          <w:rFonts w:hint="eastAsia" w:ascii="宋体" w:hAnsi="宋体" w:eastAsia="宋体" w:cs="宋体"/>
          <w:sz w:val="21"/>
          <w:szCs w:val="21"/>
          <w:lang w:val="zh-CN"/>
        </w:rPr>
        <w:t>）投标代表是法定代表人不需提供。</w:t>
      </w:r>
    </w:p>
    <w:p>
      <w:pPr>
        <w:snapToGrid w:val="0"/>
        <w:spacing w:line="360" w:lineRule="auto"/>
        <w:ind w:left="480" w:leftChars="200" w:firstLine="0" w:firstLineChars="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rPr>
        <w:t>3</w:t>
      </w:r>
      <w:r>
        <w:rPr>
          <w:rFonts w:hint="eastAsia" w:ascii="宋体" w:hAnsi="宋体" w:eastAsia="宋体" w:cs="宋体"/>
          <w:sz w:val="21"/>
          <w:szCs w:val="21"/>
          <w:lang w:val="zh-CN"/>
        </w:rPr>
        <w:t>）</w:t>
      </w:r>
      <w:r>
        <w:rPr>
          <w:rFonts w:hint="eastAsia" w:ascii="宋体" w:hAnsi="宋体" w:eastAsia="宋体" w:cs="宋体"/>
          <w:sz w:val="21"/>
          <w:szCs w:val="21"/>
        </w:rPr>
        <w:t>廉政承诺书</w:t>
      </w:r>
      <w:r>
        <w:rPr>
          <w:rFonts w:hint="eastAsia" w:ascii="宋体" w:hAnsi="宋体" w:eastAsia="宋体" w:cs="宋体"/>
          <w:sz w:val="21"/>
          <w:szCs w:val="21"/>
          <w:lang w:val="zh-CN"/>
        </w:rPr>
        <w:t>（格式</w:t>
      </w:r>
      <w:r>
        <w:rPr>
          <w:rFonts w:hint="eastAsia" w:ascii="宋体" w:hAnsi="宋体" w:eastAsia="宋体" w:cs="宋体"/>
          <w:sz w:val="21"/>
          <w:szCs w:val="21"/>
        </w:rPr>
        <w:t>2</w:t>
      </w:r>
      <w:r>
        <w:rPr>
          <w:rFonts w:hint="eastAsia" w:ascii="宋体" w:hAnsi="宋体" w:eastAsia="宋体" w:cs="宋体"/>
          <w:sz w:val="21"/>
          <w:szCs w:val="21"/>
          <w:lang w:val="zh-CN"/>
        </w:rPr>
        <w:t>）</w:t>
      </w:r>
    </w:p>
    <w:p>
      <w:pPr>
        <w:snapToGrid w:val="0"/>
        <w:spacing w:line="360" w:lineRule="auto"/>
        <w:ind w:left="480" w:leftChars="200" w:firstLine="0" w:firstLineChars="0"/>
        <w:rPr>
          <w:rFonts w:hint="eastAsia" w:ascii="宋体" w:hAnsi="宋体" w:eastAsia="宋体" w:cs="宋体"/>
          <w:sz w:val="21"/>
          <w:szCs w:val="21"/>
          <w:lang w:val="zh-CN"/>
        </w:rPr>
      </w:pPr>
      <w:r>
        <w:rPr>
          <w:rFonts w:hint="eastAsia" w:ascii="宋体" w:hAnsi="宋体" w:eastAsia="宋体" w:cs="宋体"/>
          <w:sz w:val="21"/>
          <w:szCs w:val="21"/>
        </w:rPr>
        <w:t>（4）投标人基本情况表</w:t>
      </w:r>
      <w:r>
        <w:rPr>
          <w:rFonts w:hint="eastAsia" w:ascii="宋体" w:hAnsi="宋体" w:eastAsia="宋体" w:cs="宋体"/>
          <w:sz w:val="21"/>
          <w:szCs w:val="21"/>
          <w:lang w:val="zh-CN"/>
        </w:rPr>
        <w:t>（格式</w:t>
      </w:r>
      <w:r>
        <w:rPr>
          <w:rFonts w:hint="eastAsia" w:ascii="宋体" w:hAnsi="宋体" w:eastAsia="宋体" w:cs="宋体"/>
          <w:sz w:val="21"/>
          <w:szCs w:val="21"/>
        </w:rPr>
        <w:t>3</w:t>
      </w:r>
      <w:r>
        <w:rPr>
          <w:rFonts w:hint="eastAsia" w:ascii="宋体" w:hAnsi="宋体" w:eastAsia="宋体" w:cs="宋体"/>
          <w:sz w:val="21"/>
          <w:szCs w:val="21"/>
          <w:lang w:val="zh-CN"/>
        </w:rPr>
        <w:t>）</w:t>
      </w:r>
    </w:p>
    <w:p>
      <w:pPr>
        <w:snapToGrid w:val="0"/>
        <w:spacing w:line="360" w:lineRule="auto"/>
        <w:ind w:left="480" w:leftChars="200" w:firstLine="0" w:firstLineChars="0"/>
        <w:rPr>
          <w:rFonts w:hint="eastAsia" w:ascii="宋体" w:hAnsi="宋体" w:eastAsia="宋体" w:cs="宋体"/>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val="zh-CN"/>
        </w:rPr>
        <w:t>）类似项目实施情况一览表</w:t>
      </w:r>
      <w:r>
        <w:rPr>
          <w:rFonts w:hint="eastAsia" w:ascii="宋体" w:hAnsi="宋体" w:eastAsia="宋体" w:cs="宋体"/>
          <w:sz w:val="21"/>
          <w:szCs w:val="21"/>
        </w:rPr>
        <w:t>（</w:t>
      </w:r>
      <w:r>
        <w:rPr>
          <w:rFonts w:hint="eastAsia" w:ascii="宋体" w:hAnsi="宋体" w:eastAsia="宋体" w:cs="宋体"/>
          <w:sz w:val="21"/>
          <w:szCs w:val="21"/>
          <w:lang w:val="zh-CN"/>
        </w:rPr>
        <w:t>格式</w:t>
      </w:r>
      <w:r>
        <w:rPr>
          <w:rFonts w:hint="eastAsia" w:ascii="宋体" w:hAnsi="宋体" w:eastAsia="宋体" w:cs="宋体"/>
          <w:sz w:val="21"/>
          <w:szCs w:val="21"/>
          <w:lang w:val="en-US" w:eastAsia="zh-CN"/>
        </w:rPr>
        <w:t>4</w:t>
      </w:r>
      <w:r>
        <w:rPr>
          <w:rFonts w:hint="eastAsia" w:ascii="宋体" w:hAnsi="宋体" w:eastAsia="宋体" w:cs="宋体"/>
          <w:sz w:val="21"/>
          <w:szCs w:val="21"/>
        </w:rPr>
        <w:t>）</w:t>
      </w:r>
    </w:p>
    <w:p>
      <w:pPr>
        <w:snapToGrid w:val="0"/>
        <w:spacing w:line="360" w:lineRule="auto"/>
        <w:ind w:left="480" w:leftChars="200" w:firstLine="0" w:firstLineChars="0"/>
        <w:rPr>
          <w:rFonts w:hint="eastAsia" w:ascii="宋体" w:hAnsi="宋体" w:eastAsia="宋体" w:cs="宋体"/>
          <w:sz w:val="21"/>
          <w:szCs w:val="21"/>
        </w:rPr>
      </w:pPr>
      <w:r>
        <w:rPr>
          <w:rFonts w:hint="eastAsia" w:ascii="宋体" w:hAnsi="宋体" w:eastAsia="宋体" w:cs="宋体"/>
          <w:sz w:val="21"/>
          <w:szCs w:val="21"/>
          <w:lang w:val="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val="zh-CN"/>
        </w:rPr>
        <w:t>）</w:t>
      </w:r>
      <w:r>
        <w:rPr>
          <w:rFonts w:hint="eastAsia" w:ascii="宋体" w:hAnsi="宋体" w:eastAsia="宋体" w:cs="宋体"/>
          <w:sz w:val="21"/>
          <w:szCs w:val="21"/>
        </w:rPr>
        <w:t>商务和技术偏离表（</w:t>
      </w:r>
      <w:r>
        <w:rPr>
          <w:rFonts w:hint="eastAsia" w:ascii="宋体" w:hAnsi="宋体" w:eastAsia="宋体" w:cs="宋体"/>
          <w:sz w:val="21"/>
          <w:szCs w:val="21"/>
          <w:lang w:val="zh-CN"/>
        </w:rPr>
        <w:t>格式</w:t>
      </w:r>
      <w:r>
        <w:rPr>
          <w:rFonts w:hint="eastAsia" w:ascii="宋体" w:hAnsi="宋体" w:eastAsia="宋体" w:cs="宋体"/>
          <w:sz w:val="21"/>
          <w:szCs w:val="21"/>
          <w:lang w:val="en-US" w:eastAsia="zh-CN"/>
        </w:rPr>
        <w:t>5</w:t>
      </w:r>
      <w:r>
        <w:rPr>
          <w:rFonts w:hint="eastAsia" w:ascii="宋体" w:hAnsi="宋体" w:eastAsia="宋体" w:cs="宋体"/>
          <w:sz w:val="21"/>
          <w:szCs w:val="21"/>
        </w:rPr>
        <w:t>）</w:t>
      </w:r>
    </w:p>
    <w:p>
      <w:pPr>
        <w:snapToGrid w:val="0"/>
        <w:spacing w:line="360" w:lineRule="auto"/>
        <w:ind w:left="480" w:leftChars="200" w:firstLine="0" w:firstLineChars="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7</w:t>
      </w:r>
      <w:r>
        <w:rPr>
          <w:rFonts w:hint="eastAsia" w:ascii="宋体" w:hAnsi="宋体" w:eastAsia="宋体" w:cs="宋体"/>
          <w:sz w:val="21"/>
          <w:szCs w:val="21"/>
        </w:rPr>
        <w:t>）技术支持及服务承诺书（</w:t>
      </w:r>
      <w:r>
        <w:rPr>
          <w:rFonts w:hint="eastAsia" w:ascii="宋体" w:hAnsi="宋体" w:eastAsia="宋体" w:cs="宋体"/>
          <w:sz w:val="21"/>
          <w:szCs w:val="21"/>
          <w:lang w:val="zh-CN"/>
        </w:rPr>
        <w:t>格式</w:t>
      </w:r>
      <w:r>
        <w:rPr>
          <w:rFonts w:hint="eastAsia" w:ascii="宋体" w:hAnsi="宋体" w:eastAsia="宋体" w:cs="宋体"/>
          <w:sz w:val="21"/>
          <w:szCs w:val="21"/>
          <w:lang w:val="en-US" w:eastAsia="zh-CN"/>
        </w:rPr>
        <w:t>6</w:t>
      </w:r>
      <w:r>
        <w:rPr>
          <w:rFonts w:hint="eastAsia" w:ascii="宋体" w:hAnsi="宋体" w:eastAsia="宋体" w:cs="宋体"/>
          <w:sz w:val="21"/>
          <w:szCs w:val="21"/>
        </w:rPr>
        <w:t>）</w:t>
      </w:r>
    </w:p>
    <w:p>
      <w:pPr>
        <w:pStyle w:val="11"/>
        <w:spacing w:line="360" w:lineRule="auto"/>
        <w:rPr>
          <w:rFonts w:hint="eastAsia" w:ascii="宋体" w:hAnsi="宋体" w:eastAsia="宋体" w:cs="宋体"/>
          <w:color w:val="auto"/>
          <w:sz w:val="21"/>
          <w:szCs w:val="21"/>
          <w:lang w:val="zh-CN"/>
        </w:rPr>
      </w:pPr>
      <w:r>
        <w:rPr>
          <w:rFonts w:hint="eastAsia" w:ascii="宋体" w:hAnsi="宋体" w:eastAsia="宋体" w:cs="宋体"/>
          <w:b/>
          <w:bCs/>
          <w:color w:val="auto"/>
          <w:sz w:val="21"/>
          <w:szCs w:val="21"/>
        </w:rPr>
        <w:t>B.技术部分</w:t>
      </w:r>
      <w:r>
        <w:rPr>
          <w:rFonts w:hint="eastAsia" w:ascii="宋体" w:hAnsi="宋体" w:eastAsia="宋体" w:cs="宋体"/>
          <w:b/>
          <w:bCs/>
          <w:color w:val="auto"/>
          <w:sz w:val="21"/>
          <w:szCs w:val="21"/>
          <w:lang w:val="en-US" w:eastAsia="zh-CN"/>
        </w:rPr>
        <w:t xml:space="preserve">    </w:t>
      </w:r>
      <w:r>
        <w:rPr>
          <w:rFonts w:hint="eastAsia" w:ascii="宋体" w:hAnsi="宋体" w:eastAsia="宋体" w:cs="宋体"/>
          <w:color w:val="auto"/>
          <w:sz w:val="21"/>
          <w:szCs w:val="21"/>
          <w:lang w:val="zh-CN"/>
        </w:rPr>
        <w:t>包括但不仅限于(以下内容可以以资料、图表或说明的形式表述）</w:t>
      </w:r>
    </w:p>
    <w:p>
      <w:pPr>
        <w:pStyle w:val="11"/>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（1）由投标人按</w:t>
      </w:r>
      <w:r>
        <w:rPr>
          <w:rFonts w:hint="eastAsia" w:ascii="宋体" w:hAnsi="宋体" w:eastAsia="宋体" w:cs="宋体"/>
          <w:color w:val="auto"/>
          <w:sz w:val="21"/>
          <w:szCs w:val="21"/>
          <w:lang w:val="en-US" w:eastAsia="zh-CN"/>
        </w:rPr>
        <w:t>采购需求及</w:t>
      </w:r>
      <w:r>
        <w:rPr>
          <w:rFonts w:hint="eastAsia" w:ascii="宋体" w:hAnsi="宋体" w:eastAsia="宋体" w:cs="宋体"/>
          <w:color w:val="auto"/>
          <w:sz w:val="21"/>
          <w:szCs w:val="21"/>
          <w:lang w:val="zh-CN"/>
        </w:rPr>
        <w:t>评分细则自行</w:t>
      </w:r>
      <w:r>
        <w:rPr>
          <w:rFonts w:hint="eastAsia" w:ascii="宋体" w:hAnsi="宋体" w:eastAsia="宋体" w:cs="宋体"/>
          <w:color w:val="auto"/>
          <w:sz w:val="21"/>
          <w:szCs w:val="21"/>
          <w:lang w:val="en-US" w:eastAsia="zh-CN"/>
        </w:rPr>
        <w:t>提供或</w:t>
      </w:r>
      <w:r>
        <w:rPr>
          <w:rFonts w:hint="eastAsia" w:ascii="宋体" w:hAnsi="宋体" w:eastAsia="宋体" w:cs="宋体"/>
          <w:color w:val="auto"/>
          <w:sz w:val="21"/>
          <w:szCs w:val="21"/>
          <w:lang w:val="zh-CN"/>
        </w:rPr>
        <w:t>编制</w:t>
      </w:r>
    </w:p>
    <w:p>
      <w:pPr>
        <w:pStyle w:val="11"/>
        <w:spacing w:line="360" w:lineRule="auto"/>
        <w:rPr>
          <w:rFonts w:hint="eastAsia"/>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）投标人认为有必要提供的其他文件和说明（格式自拟）</w:t>
      </w:r>
      <w:r>
        <w:rPr>
          <w:rFonts w:hint="eastAsia" w:ascii="宋体" w:hAnsi="宋体" w:eastAsia="宋体" w:cs="宋体"/>
          <w:sz w:val="21"/>
          <w:szCs w:val="21"/>
        </w:rPr>
        <w:t>。</w:t>
      </w:r>
    </w:p>
    <w:p>
      <w:pPr>
        <w:snapToGrid w:val="0"/>
        <w:spacing w:line="360" w:lineRule="auto"/>
        <w:ind w:left="480" w:leftChars="200" w:firstLine="0" w:firstLineChars="0"/>
        <w:rPr>
          <w:rFonts w:ascii="宋体" w:hAnsi="宋体" w:eastAsia="宋体" w:cs="宋体"/>
          <w:color w:val="000000"/>
          <w:sz w:val="21"/>
          <w:szCs w:val="21"/>
        </w:rPr>
      </w:pPr>
      <w:r>
        <w:rPr>
          <w:rFonts w:hint="eastAsia" w:ascii="宋体" w:hAnsi="宋体" w:eastAsia="宋体" w:cs="宋体"/>
          <w:b/>
          <w:bCs/>
          <w:color w:val="000000"/>
          <w:sz w:val="21"/>
          <w:szCs w:val="21"/>
        </w:rPr>
        <w:t>12.2【商务报价文件】</w:t>
      </w:r>
    </w:p>
    <w:p>
      <w:pPr>
        <w:snapToGrid w:val="0"/>
        <w:spacing w:line="360" w:lineRule="auto"/>
        <w:ind w:left="480" w:leftChars="200" w:firstLine="0" w:firstLineChars="0"/>
        <w:rPr>
          <w:rFonts w:ascii="宋体" w:hAnsi="宋体" w:eastAsia="宋体" w:cs="宋体"/>
          <w:color w:val="000000"/>
          <w:sz w:val="21"/>
          <w:szCs w:val="21"/>
        </w:rPr>
      </w:pPr>
      <w:r>
        <w:rPr>
          <w:rFonts w:hint="eastAsia" w:ascii="宋体" w:hAnsi="宋体" w:eastAsia="宋体" w:cs="宋体"/>
          <w:color w:val="000000"/>
          <w:sz w:val="21"/>
          <w:szCs w:val="21"/>
        </w:rPr>
        <w:t>12.2.1▲</w:t>
      </w:r>
      <w:r>
        <w:rPr>
          <w:rFonts w:hint="eastAsia" w:ascii="宋体" w:hAnsi="宋体" w:eastAsia="宋体" w:cs="宋体"/>
          <w:sz w:val="21"/>
          <w:szCs w:val="21"/>
        </w:rPr>
        <w:t>投标函（格式</w:t>
      </w:r>
      <w:r>
        <w:rPr>
          <w:rFonts w:hint="eastAsia" w:ascii="宋体" w:hAnsi="宋体" w:eastAsia="宋体" w:cs="宋体"/>
          <w:sz w:val="21"/>
          <w:szCs w:val="21"/>
          <w:lang w:val="en-US" w:eastAsia="zh-CN"/>
        </w:rPr>
        <w:t>7</w:t>
      </w:r>
      <w:r>
        <w:rPr>
          <w:rFonts w:hint="eastAsia" w:ascii="宋体" w:hAnsi="宋体" w:eastAsia="宋体" w:cs="宋体"/>
          <w:sz w:val="21"/>
          <w:szCs w:val="21"/>
        </w:rPr>
        <w:t>）</w:t>
      </w:r>
      <w:r>
        <w:rPr>
          <w:rFonts w:hint="eastAsia" w:ascii="宋体" w:hAnsi="宋体" w:eastAsia="宋体" w:cs="宋体"/>
          <w:color w:val="000000"/>
          <w:sz w:val="21"/>
          <w:szCs w:val="21"/>
        </w:rPr>
        <w:t xml:space="preserve"> </w:t>
      </w:r>
    </w:p>
    <w:p>
      <w:pPr>
        <w:snapToGrid w:val="0"/>
        <w:spacing w:line="360" w:lineRule="auto"/>
        <w:ind w:left="480" w:leftChars="200" w:firstLine="0" w:firstLineChars="0"/>
        <w:rPr>
          <w:rFonts w:ascii="宋体" w:hAnsi="宋体" w:eastAsia="宋体" w:cs="宋体"/>
          <w:color w:val="000000"/>
          <w:sz w:val="21"/>
          <w:szCs w:val="21"/>
        </w:rPr>
      </w:pPr>
      <w:r>
        <w:rPr>
          <w:rFonts w:hint="eastAsia" w:ascii="宋体" w:hAnsi="宋体" w:eastAsia="宋体" w:cs="宋体"/>
          <w:color w:val="000000"/>
          <w:sz w:val="21"/>
          <w:szCs w:val="21"/>
        </w:rPr>
        <w:t>12.2.2▲</w:t>
      </w:r>
      <w:r>
        <w:rPr>
          <w:rFonts w:hint="eastAsia" w:ascii="宋体" w:hAnsi="宋体" w:eastAsia="宋体" w:cs="宋体"/>
          <w:sz w:val="21"/>
          <w:szCs w:val="21"/>
        </w:rPr>
        <w:t>投标报价表（格式</w:t>
      </w:r>
      <w:r>
        <w:rPr>
          <w:rFonts w:hint="eastAsia" w:ascii="宋体" w:hAnsi="宋体" w:eastAsia="宋体" w:cs="宋体"/>
          <w:sz w:val="21"/>
          <w:szCs w:val="21"/>
          <w:lang w:val="en-US" w:eastAsia="zh-CN"/>
        </w:rPr>
        <w:t>8</w:t>
      </w:r>
      <w:r>
        <w:rPr>
          <w:rFonts w:hint="eastAsia" w:ascii="宋体" w:hAnsi="宋体" w:eastAsia="宋体" w:cs="宋体"/>
          <w:sz w:val="21"/>
          <w:szCs w:val="21"/>
        </w:rPr>
        <w:t>）</w:t>
      </w:r>
    </w:p>
    <w:p>
      <w:pPr>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12.2.3中小企业声明函、监狱企业、残疾人福利性单位证明材料（如有）（格式见附件</w:t>
      </w:r>
      <w:r>
        <w:rPr>
          <w:rFonts w:hint="eastAsia" w:ascii="宋体" w:hAnsi="宋体" w:eastAsia="宋体" w:cs="宋体"/>
          <w:sz w:val="21"/>
          <w:szCs w:val="21"/>
          <w:lang w:val="en-US" w:eastAsia="zh-CN"/>
        </w:rPr>
        <w:t>9</w:t>
      </w:r>
      <w:r>
        <w:rPr>
          <w:rFonts w:hint="eastAsia" w:ascii="宋体" w:hAnsi="宋体" w:eastAsia="宋体" w:cs="宋体"/>
          <w:sz w:val="21"/>
          <w:szCs w:val="21"/>
        </w:rPr>
        <w:t>）</w:t>
      </w:r>
    </w:p>
    <w:p>
      <w:pPr>
        <w:numPr>
          <w:ilvl w:val="1"/>
          <w:numId w:val="5"/>
        </w:num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 xml:space="preserve">投标文件内容填写说明 </w:t>
      </w:r>
    </w:p>
    <w:p>
      <w:pPr>
        <w:numPr>
          <w:ilvl w:val="2"/>
          <w:numId w:val="5"/>
        </w:num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供应商应在认真阅读招标文件所有内容的基础上，按照招标文件的要求编制完整的投标文件。投标文件应按照招标文件中规定的统一格式填写，严格按照规定的顺序用装订成册并编制目录，混乱的编排导致投标文件被误读或采购人查找不到有效文件是供应商的风险。招标文件对投标文件格式有要求的应按格式逐项填写内容，不准有空项；无相应内容可填的项应填写“无”、“未测试”、“没有相应指标”等明确的回答文字。</w:t>
      </w:r>
    </w:p>
    <w:p>
      <w:pPr>
        <w:numPr>
          <w:ilvl w:val="2"/>
          <w:numId w:val="5"/>
        </w:num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供应商必须保证投标文件所提供的全部资料真实可靠，并接受采购人对其中任何资料进一步审查的要求。</w:t>
      </w:r>
    </w:p>
    <w:p>
      <w:pPr>
        <w:numPr>
          <w:ilvl w:val="2"/>
          <w:numId w:val="5"/>
        </w:num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《开标一览表》为在开标仪式上唱标的内容，要求按格式</w:t>
      </w:r>
      <w:r>
        <w:rPr>
          <w:rFonts w:hint="eastAsia" w:ascii="宋体" w:hAnsi="宋体" w:eastAsia="宋体" w:cs="宋体"/>
          <w:b/>
          <w:bCs/>
          <w:color w:val="000000"/>
          <w:sz w:val="21"/>
          <w:szCs w:val="21"/>
        </w:rPr>
        <w:t>印刷体填写</w:t>
      </w:r>
      <w:r>
        <w:rPr>
          <w:rFonts w:hint="eastAsia" w:ascii="宋体" w:hAnsi="宋体" w:eastAsia="宋体" w:cs="宋体"/>
          <w:color w:val="000000"/>
          <w:sz w:val="21"/>
          <w:szCs w:val="21"/>
        </w:rPr>
        <w:t>、统一规范，不得自行增减内容。</w:t>
      </w:r>
    </w:p>
    <w:p>
      <w:pPr>
        <w:numPr>
          <w:ilvl w:val="2"/>
          <w:numId w:val="5"/>
        </w:num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投标文件须对招标文件中的内容做出实质性的和完整的响应，否则其投标将被拒绝。如果投标文件填报的内容资料不详，或没有提供招标文件中所要求的全部资料及数据，将会导致投标被拒绝。</w:t>
      </w:r>
    </w:p>
    <w:p>
      <w:pPr>
        <w:numPr>
          <w:ilvl w:val="2"/>
          <w:numId w:val="5"/>
        </w:num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供应商已明知采购期间或之后企业将发生兼并改制，或提供的产品将停产、淘汰，或必须有偿使用指定的第三方中间件和插件的，及其他应当告知采购人可能影响采购项目实施</w:t>
      </w:r>
      <w:r>
        <w:rPr>
          <w:rFonts w:hint="eastAsia" w:ascii="宋体" w:hAnsi="宋体" w:eastAsia="宋体" w:cs="宋体"/>
          <w:color w:val="000000"/>
          <w:spacing w:val="-6"/>
          <w:sz w:val="21"/>
          <w:szCs w:val="21"/>
        </w:rPr>
        <w:t>或损害采购人利益的信息，必须在投标文件中予以特别说明，否则，采购人可以拒绝其投标文件。</w:t>
      </w:r>
    </w:p>
    <w:p>
      <w:pPr>
        <w:numPr>
          <w:ilvl w:val="2"/>
          <w:numId w:val="5"/>
        </w:num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投标文件不得涂改和增删，如有错漏必须修改，修改处须由授权代表签字或盖章。</w:t>
      </w:r>
    </w:p>
    <w:p>
      <w:pPr>
        <w:numPr>
          <w:ilvl w:val="2"/>
          <w:numId w:val="5"/>
        </w:num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由于字迹模糊或表达不清引起的后果由投标人负责。</w:t>
      </w:r>
    </w:p>
    <w:p>
      <w:pPr>
        <w:numPr>
          <w:ilvl w:val="2"/>
          <w:numId w:val="5"/>
        </w:num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规格性能偏离表：所提供的服务与采购需求等方面有偏离或对服务有好的建议，应填写《投标响应表》，否则认为响应招标文件要求。</w:t>
      </w:r>
    </w:p>
    <w:p>
      <w:pPr>
        <w:numPr>
          <w:ilvl w:val="1"/>
          <w:numId w:val="5"/>
        </w:num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投标报价</w:t>
      </w:r>
    </w:p>
    <w:p>
      <w:pPr>
        <w:numPr>
          <w:ilvl w:val="2"/>
          <w:numId w:val="5"/>
        </w:num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投标报价应按招标文件中相关附表格式填写。</w:t>
      </w:r>
    </w:p>
    <w:p>
      <w:pPr>
        <w:numPr>
          <w:ilvl w:val="2"/>
          <w:numId w:val="5"/>
        </w:num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投标报价是履行合同最终报价，报价中包含本项目采购文件确定的采购需求</w:t>
      </w:r>
      <w:r>
        <w:rPr>
          <w:rFonts w:hint="eastAsia" w:ascii="宋体" w:hAnsi="宋体" w:eastAsia="宋体" w:cs="宋体"/>
          <w:color w:val="000000" w:themeColor="text1"/>
          <w:sz w:val="21"/>
          <w:szCs w:val="21"/>
          <w14:textFill>
            <w14:solidFill>
              <w14:schemeClr w14:val="tx1"/>
            </w14:solidFill>
          </w14:textFill>
        </w:rPr>
        <w:t>范围内的全部工作内容的价格表现。完成本项目采购需求</w:t>
      </w:r>
      <w:r>
        <w:rPr>
          <w:rFonts w:hint="eastAsia" w:ascii="宋体" w:hAnsi="宋体" w:eastAsia="宋体" w:cs="宋体"/>
          <w:color w:val="000000"/>
          <w:sz w:val="21"/>
          <w:szCs w:val="21"/>
        </w:rPr>
        <w:t>范围内全部工作内容所需支付的成本、企业应缴纳的税费及合理利润等所有费用，以及项目实施过程中合理存在的风险等采购文件未列明但可能产生额外成本的因素，均已周全考虑后计入以上报价。投标文件只允许有一个报价，有选择的或有条件的报价将不予接受。</w:t>
      </w:r>
    </w:p>
    <w:p>
      <w:pPr>
        <w:numPr>
          <w:ilvl w:val="1"/>
          <w:numId w:val="5"/>
        </w:num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投标有效期</w:t>
      </w:r>
    </w:p>
    <w:p>
      <w:pPr>
        <w:numPr>
          <w:ilvl w:val="2"/>
          <w:numId w:val="5"/>
        </w:numPr>
        <w:snapToGrid w:val="0"/>
        <w:spacing w:line="360" w:lineRule="auto"/>
        <w:ind w:firstLine="480"/>
        <w:rPr>
          <w:rFonts w:ascii="宋体" w:hAnsi="宋体" w:eastAsia="宋体" w:cs="宋体"/>
          <w:sz w:val="21"/>
          <w:szCs w:val="21"/>
        </w:rPr>
      </w:pPr>
      <w:r>
        <w:rPr>
          <w:rFonts w:hint="eastAsia" w:ascii="宋体" w:hAnsi="宋体" w:eastAsia="宋体" w:cs="宋体"/>
          <w:color w:val="000000"/>
          <w:sz w:val="21"/>
          <w:szCs w:val="21"/>
        </w:rPr>
        <w:t>投标文件从投标文件递交截止之日起，有效期为90天；</w:t>
      </w:r>
      <w:bookmarkStart w:id="90" w:name="_Toc359856801"/>
      <w:bookmarkStart w:id="91" w:name="_Toc14590"/>
      <w:bookmarkStart w:id="92" w:name="_Toc16200"/>
      <w:bookmarkStart w:id="93" w:name="_Toc18387"/>
      <w:bookmarkStart w:id="94" w:name="_Toc2552"/>
      <w:bookmarkStart w:id="95" w:name="_Toc356371436"/>
      <w:bookmarkStart w:id="96" w:name="_Toc28902"/>
      <w:bookmarkStart w:id="97" w:name="_Toc16686"/>
    </w:p>
    <w:p>
      <w:pPr>
        <w:pStyle w:val="5"/>
        <w:spacing w:before="167" w:after="167" w:line="360" w:lineRule="auto"/>
        <w:ind w:firstLine="0" w:firstLineChars="0"/>
        <w:jc w:val="center"/>
        <w:rPr>
          <w:rFonts w:ascii="宋体" w:hAnsi="宋体" w:eastAsia="宋体" w:cs="宋体"/>
          <w:sz w:val="24"/>
          <w:szCs w:val="24"/>
        </w:rPr>
      </w:pPr>
      <w:bookmarkStart w:id="98" w:name="_Toc5843"/>
      <w:r>
        <w:rPr>
          <w:rFonts w:hint="eastAsia" w:ascii="宋体" w:hAnsi="宋体" w:eastAsia="宋体" w:cs="宋体"/>
          <w:sz w:val="24"/>
          <w:szCs w:val="24"/>
        </w:rPr>
        <w:t>五、</w:t>
      </w:r>
      <w:bookmarkEnd w:id="90"/>
      <w:bookmarkEnd w:id="91"/>
      <w:bookmarkEnd w:id="92"/>
      <w:bookmarkEnd w:id="93"/>
      <w:bookmarkEnd w:id="94"/>
      <w:bookmarkEnd w:id="95"/>
      <w:bookmarkEnd w:id="96"/>
      <w:bookmarkEnd w:id="97"/>
      <w:r>
        <w:rPr>
          <w:rFonts w:hint="eastAsia" w:ascii="宋体" w:hAnsi="宋体" w:eastAsia="宋体" w:cs="宋体"/>
          <w:sz w:val="24"/>
          <w:szCs w:val="24"/>
        </w:rPr>
        <w:t>处罚行为</w:t>
      </w:r>
      <w:bookmarkEnd w:id="98"/>
    </w:p>
    <w:p>
      <w:pPr>
        <w:snapToGrid w:val="0"/>
        <w:spacing w:line="360" w:lineRule="auto"/>
        <w:ind w:firstLine="0" w:firstLineChars="0"/>
        <w:rPr>
          <w:rFonts w:ascii="宋体" w:hAnsi="宋体" w:eastAsia="宋体" w:cs="宋体"/>
          <w:color w:val="0000FF"/>
          <w:sz w:val="21"/>
          <w:szCs w:val="21"/>
        </w:rPr>
      </w:pPr>
      <w:r>
        <w:rPr>
          <w:rFonts w:hint="eastAsia" w:ascii="宋体" w:hAnsi="宋体" w:eastAsia="宋体" w:cs="宋体"/>
          <w:color w:val="000000"/>
        </w:rPr>
        <w:t xml:space="preserve">    </w:t>
      </w:r>
      <w:r>
        <w:rPr>
          <w:rFonts w:hint="eastAsia" w:ascii="宋体" w:hAnsi="宋体" w:eastAsia="宋体" w:cs="宋体"/>
          <w:color w:val="000000"/>
          <w:sz w:val="21"/>
          <w:szCs w:val="21"/>
        </w:rPr>
        <w:t xml:space="preserve"> 16.供应商发生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numPr>
          <w:ilvl w:val="2"/>
          <w:numId w:val="6"/>
        </w:numPr>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 xml:space="preserve"> 提供虚假材料谋取中标、成交的</w:t>
      </w:r>
    </w:p>
    <w:p>
      <w:pPr>
        <w:numPr>
          <w:ilvl w:val="2"/>
          <w:numId w:val="6"/>
        </w:numPr>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 xml:space="preserve"> 采取不正当手段诋毁、排挤其他投标供应商的；</w:t>
      </w:r>
    </w:p>
    <w:p>
      <w:pPr>
        <w:numPr>
          <w:ilvl w:val="2"/>
          <w:numId w:val="6"/>
        </w:numPr>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 xml:space="preserve"> 与采购单位、其它投标供应商恶意串通的；</w:t>
      </w:r>
    </w:p>
    <w:p>
      <w:pPr>
        <w:numPr>
          <w:ilvl w:val="2"/>
          <w:numId w:val="6"/>
        </w:numPr>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 xml:space="preserve"> 向采购单位、代理机构行贿或者提供其他不正当利益的</w:t>
      </w:r>
    </w:p>
    <w:p>
      <w:pPr>
        <w:numPr>
          <w:ilvl w:val="2"/>
          <w:numId w:val="6"/>
        </w:numPr>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 xml:space="preserve"> 在采购过程中与采购单位进行协商谈判的；</w:t>
      </w:r>
    </w:p>
    <w:p>
      <w:pPr>
        <w:numPr>
          <w:ilvl w:val="2"/>
          <w:numId w:val="6"/>
        </w:numPr>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 xml:space="preserve"> 拒绝有关部门监督检查或提供虚假情况的</w:t>
      </w:r>
    </w:p>
    <w:p>
      <w:pPr>
        <w:snapToGrid w:val="0"/>
        <w:spacing w:line="360" w:lineRule="auto"/>
        <w:ind w:firstLine="0" w:firstLineChars="0"/>
        <w:rPr>
          <w:rFonts w:ascii="宋体" w:hAnsi="宋体" w:eastAsia="宋体" w:cs="宋体"/>
          <w:sz w:val="21"/>
          <w:szCs w:val="21"/>
        </w:rPr>
      </w:pPr>
      <w:r>
        <w:rPr>
          <w:rFonts w:hint="eastAsia" w:ascii="宋体" w:hAnsi="宋体" w:eastAsia="宋体" w:cs="宋体"/>
          <w:sz w:val="21"/>
          <w:szCs w:val="21"/>
        </w:rPr>
        <w:t xml:space="preserve">    17.</w:t>
      </w:r>
      <w:r>
        <w:rPr>
          <w:rFonts w:hint="eastAsia" w:ascii="宋体" w:hAnsi="宋体" w:eastAsia="宋体" w:cs="宋体"/>
          <w:color w:val="000000"/>
          <w:sz w:val="21"/>
          <w:szCs w:val="21"/>
        </w:rPr>
        <w:t>供应商发生</w:t>
      </w:r>
      <w:r>
        <w:rPr>
          <w:rFonts w:hint="eastAsia" w:ascii="宋体" w:hAnsi="宋体" w:eastAsia="宋体" w:cs="宋体"/>
          <w:sz w:val="21"/>
          <w:szCs w:val="21"/>
        </w:rPr>
        <w:t>《浙江省政府采购供应商注册及诚信管理暂行办法》（浙财采监字[2009]28号）第三十八条、第三十九条规定</w:t>
      </w:r>
      <w:r>
        <w:rPr>
          <w:rFonts w:hint="eastAsia" w:ascii="宋体" w:hAnsi="宋体" w:eastAsia="宋体" w:cs="宋体"/>
          <w:color w:val="000000"/>
          <w:sz w:val="21"/>
          <w:szCs w:val="21"/>
        </w:rPr>
        <w:t>情形之一的，采购单位或采购代理机构将按不良行为记入该供应商诚信档案中。</w:t>
      </w:r>
    </w:p>
    <w:p>
      <w:pPr>
        <w:pStyle w:val="5"/>
        <w:spacing w:before="167" w:after="167" w:line="360" w:lineRule="auto"/>
        <w:ind w:firstLine="0" w:firstLineChars="0"/>
        <w:jc w:val="center"/>
        <w:rPr>
          <w:rFonts w:ascii="宋体" w:hAnsi="宋体" w:eastAsia="宋体" w:cs="宋体"/>
          <w:sz w:val="24"/>
          <w:szCs w:val="24"/>
        </w:rPr>
      </w:pPr>
      <w:bookmarkStart w:id="99" w:name="_Toc32681"/>
      <w:bookmarkStart w:id="100" w:name="_Toc359856802"/>
      <w:bookmarkStart w:id="101" w:name="_Toc609"/>
      <w:bookmarkStart w:id="102" w:name="_Toc9655"/>
      <w:bookmarkStart w:id="103" w:name="_Toc10664"/>
      <w:bookmarkStart w:id="104" w:name="_Toc10858"/>
      <w:bookmarkStart w:id="105" w:name="_Toc21593"/>
      <w:bookmarkStart w:id="106" w:name="_Toc26462"/>
      <w:r>
        <w:rPr>
          <w:rFonts w:hint="eastAsia" w:ascii="宋体" w:hAnsi="宋体" w:eastAsia="宋体" w:cs="宋体"/>
          <w:sz w:val="24"/>
          <w:szCs w:val="24"/>
        </w:rPr>
        <w:t>六、投标文件的签署及规定</w:t>
      </w:r>
      <w:bookmarkEnd w:id="99"/>
      <w:bookmarkEnd w:id="100"/>
      <w:bookmarkEnd w:id="101"/>
      <w:bookmarkEnd w:id="102"/>
      <w:bookmarkEnd w:id="103"/>
      <w:bookmarkEnd w:id="104"/>
      <w:bookmarkEnd w:id="105"/>
      <w:bookmarkEnd w:id="106"/>
    </w:p>
    <w:p>
      <w:pPr>
        <w:numPr>
          <w:ilvl w:val="1"/>
          <w:numId w:val="7"/>
        </w:num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供应商应按本须知的相关要求准备投标文件，每套文件须清楚的标明“资格审查文件”“资信技术文件”、“商务报价文件”和“正本”、“副本”。若正本和副本有差异，以正本为准。</w:t>
      </w:r>
    </w:p>
    <w:p>
      <w:pPr>
        <w:numPr>
          <w:ilvl w:val="1"/>
          <w:numId w:val="7"/>
        </w:num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投标文件的正本需打印或用不褪色墨水书写，并由供应商或经正式授权的代表在投标文件上签字或盖章。授权代表须以书面形式出具的“授权证书”附在投标文件中。文件的副本可采用正本复印。</w:t>
      </w:r>
    </w:p>
    <w:p>
      <w:pPr>
        <w:numPr>
          <w:ilvl w:val="1"/>
          <w:numId w:val="7"/>
        </w:num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▲投标文件封面须加盖投标人单位公章。</w:t>
      </w:r>
    </w:p>
    <w:p>
      <w:pPr>
        <w:numPr>
          <w:ilvl w:val="1"/>
          <w:numId w:val="7"/>
        </w:num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任何行间插字、涂改和增删，必须由投标文件签字人在旁边签字才有效。</w:t>
      </w:r>
    </w:p>
    <w:p>
      <w:pPr>
        <w:numPr>
          <w:ilvl w:val="1"/>
          <w:numId w:val="7"/>
        </w:num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电报、电话、传真形式的投标文件概不接受。</w:t>
      </w:r>
    </w:p>
    <w:p>
      <w:pPr>
        <w:numPr>
          <w:ilvl w:val="1"/>
          <w:numId w:val="7"/>
        </w:num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投标文件的密封和标记</w:t>
      </w:r>
    </w:p>
    <w:p>
      <w:pPr>
        <w:numPr>
          <w:ilvl w:val="2"/>
          <w:numId w:val="7"/>
        </w:numPr>
        <w:snapToGrid w:val="0"/>
        <w:spacing w:line="360" w:lineRule="auto"/>
        <w:ind w:firstLine="480"/>
        <w:rPr>
          <w:rFonts w:ascii="宋体" w:hAnsi="宋体" w:eastAsia="宋体" w:cs="宋体"/>
          <w:sz w:val="21"/>
          <w:szCs w:val="21"/>
        </w:rPr>
      </w:pPr>
      <w:r>
        <w:rPr>
          <w:rFonts w:hint="eastAsia" w:ascii="宋体" w:hAnsi="宋体" w:eastAsia="宋体" w:cs="宋体"/>
          <w:color w:val="000000"/>
          <w:sz w:val="21"/>
          <w:szCs w:val="21"/>
        </w:rPr>
        <w:t>▲投标文件应分为资格审查文件/资信技术文件/报价文件三部分，三部分单独密封并在封口及相关部位加盖供应商单位公章。</w:t>
      </w:r>
      <w:bookmarkStart w:id="107" w:name="_Toc19789"/>
      <w:bookmarkStart w:id="108" w:name="_Toc356371437"/>
      <w:bookmarkStart w:id="109" w:name="_Toc27585"/>
      <w:bookmarkStart w:id="110" w:name="_Toc31109"/>
      <w:bookmarkStart w:id="111" w:name="_Toc24749"/>
      <w:bookmarkStart w:id="112" w:name="_Toc359856803"/>
      <w:bookmarkStart w:id="113" w:name="_Toc24484"/>
      <w:bookmarkStart w:id="114" w:name="_Toc17985"/>
    </w:p>
    <w:p>
      <w:pPr>
        <w:pStyle w:val="5"/>
        <w:spacing w:before="167" w:after="167" w:line="360" w:lineRule="auto"/>
        <w:ind w:firstLine="0" w:firstLineChars="0"/>
        <w:jc w:val="center"/>
        <w:rPr>
          <w:rFonts w:ascii="宋体" w:hAnsi="宋体" w:eastAsia="宋体" w:cs="宋体"/>
          <w:sz w:val="24"/>
          <w:szCs w:val="24"/>
        </w:rPr>
      </w:pPr>
      <w:bookmarkStart w:id="115" w:name="_Toc14033"/>
      <w:r>
        <w:rPr>
          <w:rFonts w:hint="eastAsia" w:ascii="宋体" w:hAnsi="宋体" w:eastAsia="宋体" w:cs="宋体"/>
          <w:sz w:val="24"/>
          <w:szCs w:val="24"/>
        </w:rPr>
        <w:t>七、投标文件的递交</w:t>
      </w:r>
      <w:bookmarkEnd w:id="107"/>
      <w:bookmarkEnd w:id="108"/>
      <w:bookmarkEnd w:id="109"/>
      <w:bookmarkEnd w:id="110"/>
      <w:bookmarkEnd w:id="111"/>
      <w:bookmarkEnd w:id="112"/>
      <w:bookmarkEnd w:id="113"/>
      <w:bookmarkEnd w:id="114"/>
      <w:bookmarkEnd w:id="115"/>
    </w:p>
    <w:p>
      <w:pPr>
        <w:numPr>
          <w:ilvl w:val="1"/>
          <w:numId w:val="7"/>
        </w:num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递交投标文件截止时间及地点：见投标人须知前附表</w:t>
      </w:r>
    </w:p>
    <w:p>
      <w:pPr>
        <w:numPr>
          <w:ilvl w:val="1"/>
          <w:numId w:val="7"/>
        </w:num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投标文件的修改和撤销</w:t>
      </w:r>
    </w:p>
    <w:p>
      <w:pPr>
        <w:numPr>
          <w:ilvl w:val="2"/>
          <w:numId w:val="7"/>
        </w:num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 xml:space="preserve"> 供应商在递交投标文件后，可以修改或撤回其投标文件，但供应商必须在规定的递交投标文件截止时间之前将修改或撤回的书面通知递交到采购人。</w:t>
      </w:r>
    </w:p>
    <w:p>
      <w:pPr>
        <w:numPr>
          <w:ilvl w:val="2"/>
          <w:numId w:val="7"/>
        </w:num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 xml:space="preserve"> 供应商修改后的投标文件应按原来的规定编制、密封、标记和递交。</w:t>
      </w:r>
    </w:p>
    <w:p>
      <w:pPr>
        <w:numPr>
          <w:ilvl w:val="2"/>
          <w:numId w:val="7"/>
        </w:num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 xml:space="preserve"> 在递交投标文件截止期之后，供应商不得对其投标文件做任何修改。</w:t>
      </w:r>
    </w:p>
    <w:p>
      <w:pPr>
        <w:numPr>
          <w:ilvl w:val="2"/>
          <w:numId w:val="7"/>
        </w:num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 xml:space="preserve"> 递交投标文件截止期后，供应商不得撤回其投标文件，否则招标人将上报有关部门列入失信名单。</w:t>
      </w:r>
    </w:p>
    <w:p>
      <w:pPr>
        <w:numPr>
          <w:ilvl w:val="2"/>
          <w:numId w:val="7"/>
        </w:numPr>
        <w:snapToGrid w:val="0"/>
        <w:spacing w:line="360" w:lineRule="auto"/>
        <w:ind w:firstLine="480"/>
        <w:rPr>
          <w:rFonts w:ascii="宋体" w:hAnsi="宋体" w:eastAsia="宋体" w:cs="宋体"/>
          <w:b/>
          <w:bCs/>
          <w:sz w:val="21"/>
          <w:szCs w:val="21"/>
        </w:rPr>
      </w:pPr>
      <w:r>
        <w:rPr>
          <w:rFonts w:hint="eastAsia" w:ascii="宋体" w:hAnsi="宋体" w:eastAsia="宋体" w:cs="宋体"/>
          <w:color w:val="000000"/>
          <w:sz w:val="21"/>
          <w:szCs w:val="21"/>
        </w:rPr>
        <w:t xml:space="preserve"> 实质上没有响应本文件要求的投标文件将被拒绝。供应商不得通过修正或撤销不合要求的偏离或保留从而使其投标文件成为实质上响应的文件。</w:t>
      </w:r>
    </w:p>
    <w:p>
      <w:pPr>
        <w:pStyle w:val="5"/>
        <w:spacing w:before="167" w:afterLines="0" w:line="360" w:lineRule="auto"/>
        <w:ind w:firstLine="0" w:firstLineChars="0"/>
        <w:jc w:val="center"/>
        <w:rPr>
          <w:rFonts w:ascii="宋体" w:hAnsi="宋体" w:eastAsia="宋体" w:cs="宋体"/>
          <w:sz w:val="24"/>
          <w:szCs w:val="24"/>
        </w:rPr>
      </w:pPr>
      <w:bookmarkStart w:id="116" w:name="_Toc22993"/>
      <w:bookmarkStart w:id="117" w:name="_Toc8456"/>
      <w:bookmarkStart w:id="118" w:name="_Toc21366"/>
      <w:bookmarkStart w:id="119" w:name="_Toc13390"/>
      <w:bookmarkStart w:id="120" w:name="_Toc356371438"/>
      <w:bookmarkStart w:id="121" w:name="_Toc3921"/>
      <w:bookmarkStart w:id="122" w:name="_Toc23119"/>
      <w:bookmarkStart w:id="123" w:name="_Toc5226"/>
      <w:bookmarkStart w:id="124" w:name="_Toc359856804"/>
      <w:r>
        <w:rPr>
          <w:rFonts w:hint="eastAsia" w:ascii="宋体" w:hAnsi="宋体" w:eastAsia="宋体" w:cs="宋体"/>
          <w:sz w:val="24"/>
          <w:szCs w:val="24"/>
        </w:rPr>
        <w:t>八、投标无效的情形</w:t>
      </w:r>
      <w:bookmarkEnd w:id="116"/>
      <w:bookmarkEnd w:id="117"/>
      <w:bookmarkEnd w:id="118"/>
      <w:bookmarkEnd w:id="119"/>
      <w:bookmarkEnd w:id="120"/>
      <w:bookmarkEnd w:id="121"/>
      <w:bookmarkEnd w:id="122"/>
      <w:bookmarkEnd w:id="123"/>
      <w:bookmarkEnd w:id="124"/>
    </w:p>
    <w:p>
      <w:pPr>
        <w:snapToGrid w:val="0"/>
        <w:spacing w:before="93" w:beforeLines="28" w:after="97" w:afterLines="29" w:line="360" w:lineRule="auto"/>
        <w:ind w:firstLine="480"/>
        <w:rPr>
          <w:rFonts w:ascii="宋体" w:hAnsi="宋体" w:eastAsia="宋体" w:cs="宋体"/>
          <w:color w:val="000000"/>
          <w:sz w:val="21"/>
          <w:szCs w:val="21"/>
        </w:rPr>
      </w:pPr>
      <w:bookmarkStart w:id="125" w:name="_Toc356371439"/>
      <w:r>
        <w:rPr>
          <w:rFonts w:hint="eastAsia" w:ascii="宋体" w:hAnsi="宋体" w:eastAsia="宋体" w:cs="宋体"/>
          <w:color w:val="000000"/>
          <w:sz w:val="21"/>
          <w:szCs w:val="21"/>
        </w:rPr>
        <w:t>28.见投标人须知前附表：</w:t>
      </w:r>
    </w:p>
    <w:p>
      <w:pPr>
        <w:pStyle w:val="5"/>
        <w:spacing w:beforeLines="0" w:after="167" w:line="360" w:lineRule="auto"/>
        <w:ind w:firstLine="0" w:firstLineChars="0"/>
        <w:jc w:val="center"/>
        <w:rPr>
          <w:rFonts w:ascii="宋体" w:hAnsi="宋体" w:eastAsia="宋体" w:cs="宋体"/>
          <w:sz w:val="24"/>
          <w:szCs w:val="24"/>
        </w:rPr>
      </w:pPr>
      <w:bookmarkStart w:id="126" w:name="_Toc7995"/>
      <w:bookmarkStart w:id="127" w:name="_Toc359856805"/>
      <w:bookmarkStart w:id="128" w:name="_Toc12143"/>
      <w:bookmarkStart w:id="129" w:name="_Toc1219"/>
      <w:bookmarkStart w:id="130" w:name="_Toc3368"/>
      <w:bookmarkStart w:id="131" w:name="_Toc28492"/>
      <w:bookmarkStart w:id="132" w:name="_Toc359592368"/>
      <w:bookmarkStart w:id="133" w:name="_Toc32542"/>
      <w:bookmarkStart w:id="134" w:name="_Toc3272"/>
      <w:r>
        <w:rPr>
          <w:rFonts w:hint="eastAsia" w:ascii="宋体" w:hAnsi="宋体" w:eastAsia="宋体" w:cs="宋体"/>
          <w:sz w:val="24"/>
          <w:szCs w:val="24"/>
        </w:rPr>
        <w:t>九、废标的情形</w:t>
      </w:r>
      <w:bookmarkEnd w:id="126"/>
      <w:bookmarkEnd w:id="127"/>
      <w:bookmarkEnd w:id="128"/>
      <w:bookmarkEnd w:id="129"/>
      <w:bookmarkEnd w:id="130"/>
      <w:bookmarkEnd w:id="131"/>
      <w:bookmarkEnd w:id="132"/>
      <w:bookmarkEnd w:id="133"/>
      <w:bookmarkEnd w:id="134"/>
    </w:p>
    <w:p>
      <w:pPr>
        <w:snapToGrid w:val="0"/>
        <w:spacing w:line="360" w:lineRule="auto"/>
        <w:ind w:left="478" w:leftChars="199" w:firstLine="0" w:firstLineChars="0"/>
        <w:rPr>
          <w:rFonts w:ascii="宋体" w:hAnsi="宋体" w:eastAsia="宋体" w:cs="宋体"/>
          <w:color w:val="000000"/>
          <w:sz w:val="21"/>
          <w:szCs w:val="21"/>
        </w:rPr>
      </w:pPr>
      <w:r>
        <w:rPr>
          <w:rFonts w:hint="eastAsia" w:ascii="宋体" w:hAnsi="宋体" w:eastAsia="宋体" w:cs="宋体"/>
          <w:color w:val="000000"/>
          <w:sz w:val="21"/>
          <w:szCs w:val="21"/>
        </w:rPr>
        <w:t>29.在采购采购中，出现下列情形之一的，应予废标：</w:t>
      </w:r>
    </w:p>
    <w:p>
      <w:pPr>
        <w:snapToGrid w:val="0"/>
        <w:spacing w:line="360" w:lineRule="auto"/>
        <w:ind w:left="478" w:leftChars="199" w:firstLine="0" w:firstLineChars="0"/>
        <w:rPr>
          <w:rFonts w:ascii="宋体" w:hAnsi="宋体" w:eastAsia="宋体" w:cs="宋体"/>
          <w:color w:val="000000"/>
          <w:sz w:val="21"/>
          <w:szCs w:val="21"/>
        </w:rPr>
      </w:pPr>
      <w:r>
        <w:rPr>
          <w:rFonts w:hint="eastAsia" w:ascii="宋体" w:hAnsi="宋体" w:eastAsia="宋体" w:cs="宋体"/>
          <w:color w:val="000000"/>
          <w:sz w:val="21"/>
          <w:szCs w:val="21"/>
        </w:rPr>
        <w:t>29.1符合专业条件的投标人或者对采购文件作实质响应的投标人不足三家的；</w:t>
      </w:r>
    </w:p>
    <w:p>
      <w:pPr>
        <w:snapToGrid w:val="0"/>
        <w:spacing w:line="360" w:lineRule="auto"/>
        <w:ind w:left="478" w:leftChars="199" w:firstLine="0" w:firstLineChars="0"/>
        <w:rPr>
          <w:rFonts w:ascii="宋体" w:hAnsi="宋体" w:eastAsia="宋体" w:cs="宋体"/>
          <w:color w:val="000000"/>
          <w:sz w:val="21"/>
          <w:szCs w:val="21"/>
        </w:rPr>
      </w:pPr>
      <w:r>
        <w:rPr>
          <w:rFonts w:hint="eastAsia" w:ascii="宋体" w:hAnsi="宋体" w:eastAsia="宋体" w:cs="宋体"/>
          <w:color w:val="000000"/>
          <w:sz w:val="21"/>
          <w:szCs w:val="21"/>
        </w:rPr>
        <w:t>29.2出现影响采购公正的违法、违规行为的；</w:t>
      </w:r>
    </w:p>
    <w:p>
      <w:pPr>
        <w:snapToGrid w:val="0"/>
        <w:spacing w:line="360" w:lineRule="auto"/>
        <w:ind w:left="478" w:leftChars="199" w:firstLine="0" w:firstLineChars="0"/>
        <w:rPr>
          <w:rFonts w:ascii="宋体" w:hAnsi="宋体" w:eastAsia="宋体" w:cs="宋体"/>
          <w:color w:val="000000"/>
          <w:sz w:val="21"/>
          <w:szCs w:val="21"/>
        </w:rPr>
      </w:pPr>
      <w:r>
        <w:rPr>
          <w:rFonts w:hint="eastAsia" w:ascii="宋体" w:hAnsi="宋体" w:eastAsia="宋体" w:cs="宋体"/>
          <w:color w:val="000000"/>
          <w:sz w:val="21"/>
          <w:szCs w:val="21"/>
        </w:rPr>
        <w:t>29.3投标人的报价均超过了采购预算，采购人不能支付的；</w:t>
      </w:r>
    </w:p>
    <w:p>
      <w:pPr>
        <w:snapToGrid w:val="0"/>
        <w:spacing w:line="360" w:lineRule="auto"/>
        <w:ind w:left="478" w:leftChars="199" w:firstLine="0" w:firstLineChars="0"/>
        <w:rPr>
          <w:rFonts w:ascii="宋体" w:hAnsi="宋体" w:eastAsia="宋体" w:cs="宋体"/>
          <w:color w:val="000000"/>
          <w:sz w:val="21"/>
          <w:szCs w:val="21"/>
        </w:rPr>
      </w:pPr>
      <w:r>
        <w:rPr>
          <w:rFonts w:hint="eastAsia" w:ascii="宋体" w:hAnsi="宋体" w:eastAsia="宋体" w:cs="宋体"/>
          <w:color w:val="000000"/>
          <w:sz w:val="21"/>
          <w:szCs w:val="21"/>
        </w:rPr>
        <w:t>29.4因重大变故，采购任务取消的。</w:t>
      </w:r>
    </w:p>
    <w:p>
      <w:pPr>
        <w:snapToGrid w:val="0"/>
        <w:spacing w:line="360" w:lineRule="auto"/>
        <w:ind w:firstLine="480"/>
        <w:rPr>
          <w:rFonts w:ascii="宋体" w:hAnsi="宋体" w:eastAsia="宋体" w:cs="宋体"/>
          <w:color w:val="000000"/>
          <w:sz w:val="21"/>
          <w:szCs w:val="21"/>
        </w:rPr>
      </w:pPr>
      <w:r>
        <w:rPr>
          <w:rFonts w:ascii="Arial" w:hAnsi="Arial" w:cs="Arial"/>
          <w:sz w:val="21"/>
          <w:szCs w:val="21"/>
        </w:rPr>
        <w:t>　</w:t>
      </w:r>
      <w:r>
        <w:rPr>
          <w:rFonts w:hint="eastAsia" w:ascii="宋体" w:hAnsi="宋体" w:eastAsia="宋体" w:cs="宋体"/>
          <w:color w:val="000000"/>
          <w:sz w:val="21"/>
          <w:szCs w:val="21"/>
        </w:rPr>
        <w:t>　废标后，采购人应当将废标理由以书面或邮件形式通知所有投标人。</w:t>
      </w:r>
    </w:p>
    <w:p>
      <w:pPr>
        <w:pStyle w:val="5"/>
        <w:spacing w:before="167" w:after="167" w:line="360" w:lineRule="auto"/>
        <w:ind w:firstLine="0" w:firstLineChars="0"/>
        <w:jc w:val="center"/>
        <w:rPr>
          <w:rFonts w:ascii="宋体" w:hAnsi="宋体" w:eastAsia="宋体" w:cs="宋体"/>
          <w:sz w:val="24"/>
          <w:szCs w:val="24"/>
        </w:rPr>
      </w:pPr>
      <w:bookmarkStart w:id="135" w:name="_Toc31697"/>
      <w:bookmarkStart w:id="136" w:name="_Toc25911"/>
      <w:bookmarkStart w:id="137" w:name="_Toc359856806"/>
      <w:bookmarkStart w:id="138" w:name="_Toc22197"/>
      <w:bookmarkStart w:id="139" w:name="_Toc6488"/>
      <w:bookmarkStart w:id="140" w:name="_Toc27964"/>
      <w:bookmarkStart w:id="141" w:name="_Toc4520"/>
      <w:bookmarkStart w:id="142" w:name="_Toc24990"/>
      <w:r>
        <w:rPr>
          <w:rFonts w:hint="eastAsia" w:ascii="宋体" w:hAnsi="宋体" w:eastAsia="宋体" w:cs="宋体"/>
          <w:sz w:val="24"/>
          <w:szCs w:val="24"/>
        </w:rPr>
        <w:t>十、开标</w:t>
      </w:r>
      <w:bookmarkEnd w:id="125"/>
      <w:r>
        <w:rPr>
          <w:rFonts w:hint="eastAsia" w:ascii="宋体" w:hAnsi="宋体" w:eastAsia="宋体" w:cs="宋体"/>
          <w:sz w:val="24"/>
          <w:szCs w:val="24"/>
        </w:rPr>
        <w:t>和评标</w:t>
      </w:r>
      <w:bookmarkEnd w:id="135"/>
      <w:bookmarkEnd w:id="136"/>
      <w:bookmarkEnd w:id="137"/>
      <w:bookmarkEnd w:id="138"/>
      <w:bookmarkEnd w:id="139"/>
      <w:bookmarkEnd w:id="140"/>
      <w:bookmarkEnd w:id="141"/>
      <w:bookmarkEnd w:id="142"/>
    </w:p>
    <w:p>
      <w:pPr>
        <w:snapToGrid w:val="0"/>
        <w:spacing w:line="360" w:lineRule="auto"/>
        <w:ind w:left="480" w:leftChars="200" w:firstLine="0" w:firstLineChars="0"/>
        <w:rPr>
          <w:rFonts w:ascii="宋体" w:hAnsi="宋体" w:eastAsia="宋体" w:cs="宋体"/>
          <w:color w:val="000000"/>
          <w:sz w:val="21"/>
          <w:szCs w:val="21"/>
        </w:rPr>
      </w:pPr>
      <w:r>
        <w:rPr>
          <w:rFonts w:hint="eastAsia" w:ascii="宋体" w:hAnsi="宋体" w:eastAsia="宋体" w:cs="宋体"/>
          <w:color w:val="000000"/>
          <w:sz w:val="21"/>
          <w:szCs w:val="21"/>
        </w:rPr>
        <w:t>30.开标</w:t>
      </w:r>
    </w:p>
    <w:p>
      <w:p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30.1采购人在规定的日期、时间和地点组织招标会。</w:t>
      </w:r>
    </w:p>
    <w:p>
      <w:p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30.2采购人按资格审查文件、资信技术文件、商务报价文件的顺序当众检验、拆封，先评资格审查文件、资信技术文件，若资格审查不通过，即终止其参与投标资格，商务报价文件不予拆封。</w:t>
      </w:r>
    </w:p>
    <w:p>
      <w:pPr>
        <w:snapToGrid w:val="0"/>
        <w:spacing w:line="360" w:lineRule="auto"/>
        <w:ind w:firstLine="480"/>
        <w:rPr>
          <w:rFonts w:ascii="宋体" w:hAnsi="宋体" w:eastAsia="宋体" w:cs="宋体"/>
          <w:color w:val="000000"/>
          <w:sz w:val="21"/>
          <w:szCs w:val="21"/>
        </w:rPr>
      </w:pPr>
      <w:r>
        <w:rPr>
          <w:rFonts w:hint="eastAsia" w:ascii="宋体" w:hAnsi="宋体" w:eastAsia="宋体" w:cs="宋体"/>
          <w:color w:val="000000"/>
          <w:sz w:val="21"/>
          <w:szCs w:val="21"/>
        </w:rPr>
        <w:t>30.3资格审查、资信评审通过后，开启商务报价文件。</w:t>
      </w:r>
    </w:p>
    <w:p>
      <w:pPr>
        <w:snapToGrid w:val="0"/>
        <w:spacing w:line="360" w:lineRule="auto"/>
        <w:ind w:left="480" w:leftChars="200" w:firstLine="0" w:firstLineChars="0"/>
        <w:rPr>
          <w:rFonts w:ascii="宋体" w:hAnsi="宋体" w:eastAsia="宋体" w:cs="宋体"/>
          <w:sz w:val="21"/>
          <w:szCs w:val="21"/>
        </w:rPr>
      </w:pPr>
      <w:r>
        <w:rPr>
          <w:rFonts w:hint="eastAsia" w:ascii="宋体" w:hAnsi="宋体" w:eastAsia="宋体" w:cs="宋体"/>
          <w:sz w:val="21"/>
          <w:szCs w:val="21"/>
        </w:rPr>
        <w:t>31.评标委员会</w:t>
      </w:r>
    </w:p>
    <w:p>
      <w:pPr>
        <w:snapToGrid w:val="0"/>
        <w:spacing w:line="360" w:lineRule="auto"/>
        <w:ind w:firstLine="48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31.1本项目评标委员会由采购人依法组建，</w:t>
      </w:r>
      <w:r>
        <w:rPr>
          <w:rFonts w:hint="eastAsia" w:ascii="宋体" w:hAnsi="宋体" w:eastAsia="宋体" w:cs="宋体"/>
          <w:sz w:val="21"/>
          <w:szCs w:val="21"/>
          <w:highlight w:val="none"/>
        </w:rPr>
        <w:t>成员总数为</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人</w:t>
      </w:r>
      <w:r>
        <w:rPr>
          <w:rFonts w:hint="eastAsia" w:ascii="宋体" w:hAnsi="宋体" w:eastAsia="宋体" w:cs="宋体"/>
          <w:color w:val="000000" w:themeColor="text1"/>
          <w:sz w:val="21"/>
          <w:szCs w:val="21"/>
          <w:highlight w:val="none"/>
          <w14:textFill>
            <w14:solidFill>
              <w14:schemeClr w14:val="tx1"/>
            </w14:solidFill>
          </w14:textFill>
        </w:rPr>
        <w:t>按龙游县国有企业采购相关机制确定</w:t>
      </w:r>
      <w:r>
        <w:rPr>
          <w:rFonts w:hint="eastAsia" w:ascii="宋体" w:hAnsi="宋体" w:eastAsia="宋体" w:cs="宋体"/>
          <w:color w:val="000000" w:themeColor="text1"/>
          <w:sz w:val="21"/>
          <w:szCs w:val="21"/>
          <w14:textFill>
            <w14:solidFill>
              <w14:schemeClr w14:val="tx1"/>
            </w14:solidFill>
          </w14:textFill>
        </w:rPr>
        <w:t>。评标委员会对投标文件进行审查、询标、评议和推荐中标候选人。</w:t>
      </w:r>
    </w:p>
    <w:p>
      <w:pPr>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31.2在评标期间,若有需要投标人应派代表参加电话询标。</w:t>
      </w:r>
    </w:p>
    <w:p>
      <w:pPr>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32.对投标文件的审查和响应性的确定</w:t>
      </w:r>
    </w:p>
    <w:p>
      <w:pPr>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32.1评标委员会将审查投标文件是否真实、完整,总体编排是否有序,文件签署是否正确,有无计算上的错误等。</w:t>
      </w:r>
    </w:p>
    <w:p>
      <w:pPr>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32.2算术错误将按以下方法更正: 开标时，投标文件中开标一览表（报价表）内容与投标文件中明细表内容不一致的，以开标一览表（报价表）为准。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如果投标人不接受对其错误的更正，其投标将被拒绝。</w:t>
      </w:r>
    </w:p>
    <w:p>
      <w:pPr>
        <w:snapToGrid w:val="0"/>
        <w:spacing w:line="360" w:lineRule="auto"/>
        <w:ind w:left="480" w:leftChars="200" w:firstLine="0" w:firstLineChars="0"/>
        <w:rPr>
          <w:rFonts w:ascii="宋体" w:hAnsi="宋体" w:eastAsia="宋体" w:cs="宋体"/>
          <w:sz w:val="21"/>
          <w:szCs w:val="21"/>
        </w:rPr>
      </w:pPr>
      <w:r>
        <w:rPr>
          <w:rFonts w:hint="eastAsia" w:ascii="宋体" w:hAnsi="宋体" w:eastAsia="宋体" w:cs="宋体"/>
          <w:sz w:val="21"/>
          <w:szCs w:val="21"/>
        </w:rPr>
        <w:t>33.评标</w:t>
      </w:r>
    </w:p>
    <w:p>
      <w:pPr>
        <w:snapToGrid w:val="0"/>
        <w:spacing w:line="360" w:lineRule="auto"/>
        <w:ind w:firstLine="480"/>
        <w:rPr>
          <w:rFonts w:ascii="宋体" w:hAnsi="宋体" w:eastAsia="宋体" w:cs="宋体"/>
          <w:b/>
          <w:bCs/>
          <w:color w:val="FF0000"/>
          <w:sz w:val="21"/>
          <w:szCs w:val="21"/>
        </w:rPr>
      </w:pPr>
      <w:r>
        <w:rPr>
          <w:rFonts w:hint="eastAsia" w:ascii="宋体" w:hAnsi="宋体" w:eastAsia="宋体" w:cs="宋体"/>
          <w:color w:val="000000"/>
          <w:sz w:val="21"/>
          <w:szCs w:val="21"/>
        </w:rPr>
        <w:t>33.1评定原则：根据符合采购需求、质量和服务等要求，综合评分确定中标人。</w:t>
      </w:r>
    </w:p>
    <w:p>
      <w:pPr>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33.2投标文件的澄清：在评标期间, 评标委员会可要求投标人对其投标文件进行澄清,但不得寻求、提供或允许对投标价格等实质性内容做任何更改。有关澄清的要求和答复均应以电子书面形式提交。</w:t>
      </w:r>
    </w:p>
    <w:p>
      <w:pPr>
        <w:snapToGrid w:val="0"/>
        <w:spacing w:line="360" w:lineRule="auto"/>
        <w:ind w:firstLine="480"/>
        <w:rPr>
          <w:rFonts w:ascii="宋体" w:hAnsi="宋体" w:eastAsia="宋体" w:cs="宋体"/>
          <w:color w:val="000000"/>
          <w:sz w:val="21"/>
          <w:szCs w:val="21"/>
        </w:rPr>
      </w:pPr>
      <w:r>
        <w:rPr>
          <w:rFonts w:hint="eastAsia" w:ascii="宋体" w:hAnsi="宋体" w:eastAsia="宋体" w:cs="宋体"/>
          <w:sz w:val="21"/>
          <w:szCs w:val="21"/>
        </w:rPr>
        <w:t>33.3评标报告：</w:t>
      </w:r>
      <w:r>
        <w:rPr>
          <w:rFonts w:hint="eastAsia" w:ascii="宋体" w:hAnsi="宋体" w:eastAsia="宋体" w:cs="宋体"/>
          <w:color w:val="000000"/>
          <w:sz w:val="21"/>
          <w:szCs w:val="21"/>
        </w:rPr>
        <w:t>评标委员会完成评定后，向采购人提交经各评标委员会成员签字的评定结果报告，并按评定办法</w:t>
      </w:r>
      <w:r>
        <w:rPr>
          <w:rFonts w:hint="eastAsia" w:ascii="宋体" w:hAnsi="宋体" w:eastAsia="宋体" w:cs="宋体"/>
          <w:sz w:val="21"/>
          <w:szCs w:val="21"/>
        </w:rPr>
        <w:t>推荐一名中</w:t>
      </w:r>
      <w:r>
        <w:rPr>
          <w:rFonts w:hint="eastAsia" w:ascii="宋体" w:hAnsi="宋体" w:eastAsia="宋体" w:cs="宋体"/>
          <w:color w:val="000000"/>
          <w:sz w:val="21"/>
          <w:szCs w:val="21"/>
        </w:rPr>
        <w:t>标候选人。</w:t>
      </w:r>
    </w:p>
    <w:p>
      <w:pPr>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33.4至投标截止时间投标人不足3家或通过资格审查或符合性审查的投标人不足3家的，除采购任务取消情形外，按照以下方式处理：</w:t>
      </w:r>
    </w:p>
    <w:p>
      <w:pPr>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32.4.1采购文件存在不合理条款或者采购程序不符合规定的，采购人、采购代理机构改正后依法重新招标。</w:t>
      </w:r>
    </w:p>
    <w:p>
      <w:pPr>
        <w:snapToGrid w:val="0"/>
        <w:spacing w:line="360" w:lineRule="auto"/>
        <w:ind w:firstLine="480"/>
        <w:rPr>
          <w:rFonts w:ascii="宋体" w:hAnsi="宋体" w:eastAsia="宋体" w:cs="宋体"/>
          <w:sz w:val="21"/>
          <w:szCs w:val="21"/>
          <w:highlight w:val="yellow"/>
        </w:rPr>
      </w:pPr>
      <w:r>
        <w:rPr>
          <w:rFonts w:hint="eastAsia" w:ascii="宋体" w:hAnsi="宋体" w:eastAsia="宋体" w:cs="宋体"/>
          <w:sz w:val="21"/>
          <w:szCs w:val="21"/>
        </w:rPr>
        <w:t>32.4.2采购文件没有不合理条款、采购程序符合规定，采购人可以采用其他采购方式或重新组织招标。</w:t>
      </w:r>
    </w:p>
    <w:p>
      <w:pPr>
        <w:snapToGrid w:val="0"/>
        <w:spacing w:line="360" w:lineRule="auto"/>
        <w:ind w:left="480" w:leftChars="200" w:firstLine="0" w:firstLineChars="0"/>
        <w:rPr>
          <w:rFonts w:ascii="宋体" w:hAnsi="宋体" w:eastAsia="宋体" w:cs="宋体"/>
          <w:sz w:val="21"/>
          <w:szCs w:val="21"/>
        </w:rPr>
      </w:pPr>
      <w:r>
        <w:rPr>
          <w:rFonts w:hint="eastAsia" w:ascii="宋体" w:hAnsi="宋体" w:eastAsia="宋体" w:cs="宋体"/>
          <w:sz w:val="21"/>
          <w:szCs w:val="21"/>
        </w:rPr>
        <w:t>34.保密</w:t>
      </w:r>
    </w:p>
    <w:p>
      <w:pPr>
        <w:snapToGrid w:val="0"/>
        <w:spacing w:line="360" w:lineRule="auto"/>
        <w:ind w:firstLine="480"/>
        <w:rPr>
          <w:rFonts w:ascii="宋体" w:hAnsi="宋体" w:eastAsia="宋体" w:cs="宋体"/>
          <w:sz w:val="21"/>
          <w:szCs w:val="21"/>
        </w:rPr>
      </w:pPr>
      <w:bookmarkStart w:id="143" w:name="_Toc356371440"/>
      <w:r>
        <w:rPr>
          <w:rFonts w:hint="eastAsia" w:ascii="宋体" w:hAnsi="宋体" w:eastAsia="宋体" w:cs="宋体"/>
          <w:sz w:val="21"/>
          <w:szCs w:val="21"/>
        </w:rPr>
        <w:t>34.1公开开标后直到宣布授予中标人合同为止,凡属于审查、澄清、评估和比较投标的有关资料且与授予合同有关的信息都不得向任何投标人或与上述评标过程无关的人员透露。</w:t>
      </w:r>
    </w:p>
    <w:p>
      <w:pPr>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34.2投标人对评标、比较或授予合同决定的过程施加影响的企图和行为,都可能导致其投标被拒绝。</w:t>
      </w:r>
    </w:p>
    <w:p>
      <w:pPr>
        <w:snapToGrid w:val="0"/>
        <w:spacing w:line="360" w:lineRule="auto"/>
        <w:ind w:firstLine="482"/>
        <w:jc w:val="center"/>
        <w:rPr>
          <w:rFonts w:ascii="宋体" w:hAnsi="宋体" w:eastAsia="宋体" w:cs="宋体"/>
          <w:b/>
          <w:bCs/>
          <w:kern w:val="0"/>
          <w:lang w:val="zh-CN"/>
        </w:rPr>
      </w:pPr>
      <w:bookmarkStart w:id="144" w:name="_Toc470431971"/>
      <w:bookmarkStart w:id="145" w:name="_Toc515876925"/>
    </w:p>
    <w:p>
      <w:pPr>
        <w:snapToGrid w:val="0"/>
        <w:spacing w:line="360" w:lineRule="auto"/>
        <w:ind w:firstLine="482"/>
        <w:jc w:val="center"/>
        <w:rPr>
          <w:rFonts w:ascii="宋体" w:hAnsi="宋体" w:eastAsia="宋体" w:cs="宋体"/>
          <w:b/>
          <w:bCs/>
          <w:kern w:val="0"/>
          <w:lang w:val="zh-CN"/>
        </w:rPr>
      </w:pPr>
      <w:r>
        <w:rPr>
          <w:rFonts w:hint="eastAsia" w:ascii="宋体" w:hAnsi="宋体" w:eastAsia="宋体" w:cs="宋体"/>
          <w:b/>
          <w:bCs/>
          <w:kern w:val="0"/>
          <w:lang w:val="zh-CN"/>
        </w:rPr>
        <w:t>十一、定标</w:t>
      </w:r>
      <w:bookmarkEnd w:id="144"/>
      <w:bookmarkEnd w:id="145"/>
    </w:p>
    <w:p>
      <w:pPr>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35依法确认采购结果</w:t>
      </w:r>
    </w:p>
    <w:p>
      <w:pPr>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35.1本项目由采购人根据评标委员会提交的《评审报告》依法确定中标人。</w:t>
      </w:r>
    </w:p>
    <w:p>
      <w:pPr>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采购组织机构在评标结束后的2个工作日内将《评审报告》交给采购人确认。采购人将在收到评审报告后的5个工作日内确定中标成交投标人，</w:t>
      </w:r>
    </w:p>
    <w:p>
      <w:pPr>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定标由采购人负责，应坚持评审小组推荐的中标候选人为中标人。但如出现下列情形之一的，采购人可以直接确定备用中标候选人为中标人：（1）排名第一的候选投标人，因自身原因放弃中标成交或因不可抗力不能履行合同的；（2）经质疑，采购组织机构审查确认因排名第一的候选投标人在本次采购活动中存在违法违规行为或其他原因使质疑成立的。</w:t>
      </w:r>
    </w:p>
    <w:p>
      <w:pPr>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35.2、中标结果公告及中标通知书签发</w:t>
      </w:r>
    </w:p>
    <w:p>
      <w:pPr>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35.2.1结果公告</w:t>
      </w:r>
    </w:p>
    <w:p>
      <w:pPr>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采购结果经采购人确认后2个工作日内，采购代理机构将对外发布中标成交公告和中标通知书。采购代理机构按相关政府采购规定将中标结果发布在龙游县水务集团有限公司网站上进行公示，公示期为1个工作日。采购人、采购代理机构及评标委员会对未中标的投标人不作落标原因解释。</w:t>
      </w:r>
    </w:p>
    <w:p>
      <w:pPr>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35.3、采购过程、采购结果质疑</w:t>
      </w:r>
    </w:p>
    <w:p>
      <w:pPr>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35.3.1投标人认为采购过程、采购结果使自己的合法权益受到损害的，投标人可以提出书面质疑。</w:t>
      </w:r>
    </w:p>
    <w:p>
      <w:pPr>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35.3.2质疑书须包括以下内容：</w:t>
      </w:r>
    </w:p>
    <w:p>
      <w:pPr>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（一）质疑人的名称、地址、邮政编码、联系人、联系电话，以及被质疑人名称及联系方式；</w:t>
      </w:r>
    </w:p>
    <w:p>
      <w:pPr>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（二）被质疑采购项目名称、编号及采购内容；</w:t>
      </w:r>
    </w:p>
    <w:p>
      <w:pPr>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（三）具体的质疑事项及事实依据；</w:t>
      </w:r>
    </w:p>
    <w:p>
      <w:pPr>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（四）认为自己合法权益受到损害或可能受到损害的相关证据材料；</w:t>
      </w:r>
    </w:p>
    <w:p>
      <w:pPr>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（五）提出质疑的日期。</w:t>
      </w:r>
    </w:p>
    <w:p>
      <w:pPr>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35.3.3质疑期限自采购结果公告（包括公示、预公告、结果变更公告等）之日起计算，5个工作日内向采购代理机构提出。</w:t>
      </w:r>
    </w:p>
    <w:p>
      <w:pPr>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35.3.4质疑书中涉及的相关材料中有外文资料的，应当将与质疑相关的外文资料完整、客观、真实地翻译为中文，并注明翻译人员姓名、工作单位、联系方式等信息。</w:t>
      </w:r>
    </w:p>
    <w:p>
      <w:pPr>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35.3.5质疑书必须署名，由法定代表人或主要负责人签字（或盖章）并加盖单位公章。</w:t>
      </w:r>
    </w:p>
    <w:p>
      <w:pPr>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35.3.6质疑书以直接提交、传真或邮寄方式提交（一式三份）。</w:t>
      </w:r>
    </w:p>
    <w:p>
      <w:pPr>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35.3.7质疑书以传真形式提交后，同时须向采购代理机构提交质疑书原件。</w:t>
      </w:r>
    </w:p>
    <w:p>
      <w:pPr>
        <w:pStyle w:val="5"/>
        <w:spacing w:before="167" w:after="167" w:line="360" w:lineRule="auto"/>
        <w:ind w:firstLine="0" w:firstLineChars="0"/>
        <w:jc w:val="center"/>
        <w:rPr>
          <w:rFonts w:ascii="宋体" w:hAnsi="宋体" w:eastAsia="宋体" w:cs="宋体"/>
          <w:sz w:val="24"/>
          <w:szCs w:val="24"/>
        </w:rPr>
      </w:pPr>
      <w:bookmarkStart w:id="146" w:name="_Toc10773"/>
      <w:bookmarkStart w:id="147" w:name="_Toc5119"/>
      <w:bookmarkStart w:id="148" w:name="_Toc27998"/>
      <w:bookmarkStart w:id="149" w:name="_Toc15866"/>
      <w:bookmarkStart w:id="150" w:name="_Toc359856807"/>
      <w:bookmarkStart w:id="151" w:name="_Toc7520"/>
      <w:bookmarkStart w:id="152" w:name="_Toc22883"/>
      <w:bookmarkStart w:id="153" w:name="_Toc11772"/>
      <w:r>
        <w:rPr>
          <w:rFonts w:hint="eastAsia" w:ascii="宋体" w:hAnsi="宋体" w:eastAsia="宋体" w:cs="宋体"/>
          <w:sz w:val="24"/>
          <w:szCs w:val="24"/>
        </w:rPr>
        <w:t>十二、授予合同</w:t>
      </w:r>
      <w:bookmarkEnd w:id="143"/>
      <w:bookmarkEnd w:id="146"/>
      <w:bookmarkEnd w:id="147"/>
      <w:bookmarkEnd w:id="148"/>
      <w:bookmarkEnd w:id="149"/>
      <w:bookmarkEnd w:id="150"/>
      <w:bookmarkEnd w:id="151"/>
      <w:bookmarkEnd w:id="152"/>
      <w:bookmarkEnd w:id="153"/>
    </w:p>
    <w:p>
      <w:pPr>
        <w:pStyle w:val="19"/>
        <w:snapToGrid w:val="0"/>
        <w:spacing w:line="360" w:lineRule="auto"/>
        <w:ind w:firstLine="482"/>
        <w:rPr>
          <w:rFonts w:hAnsi="宋体"/>
          <w:b/>
          <w:bCs/>
          <w:sz w:val="21"/>
          <w:szCs w:val="21"/>
        </w:rPr>
      </w:pPr>
      <w:r>
        <w:rPr>
          <w:rFonts w:hint="eastAsia" w:hAnsi="宋体"/>
          <w:b/>
          <w:bCs/>
          <w:sz w:val="21"/>
          <w:szCs w:val="21"/>
        </w:rPr>
        <w:t>36、合同授予标准</w:t>
      </w:r>
    </w:p>
    <w:p>
      <w:pPr>
        <w:adjustRightInd w:val="0"/>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36.1成交候选供应商经查有违法违规现象的，采购人有权取消其成交候选资格，并可以直接推荐排名次之的候选单位为成交单位，或者重新组织采购。</w:t>
      </w:r>
    </w:p>
    <w:p>
      <w:pPr>
        <w:spacing w:line="360" w:lineRule="auto"/>
        <w:ind w:firstLine="480"/>
        <w:rPr>
          <w:rFonts w:ascii="宋体" w:hAnsi="宋体" w:eastAsia="宋体" w:cs="宋体"/>
          <w:sz w:val="21"/>
          <w:szCs w:val="21"/>
        </w:rPr>
      </w:pPr>
      <w:r>
        <w:rPr>
          <w:rFonts w:hint="eastAsia" w:ascii="宋体" w:hAnsi="宋体" w:eastAsia="宋体" w:cs="宋体"/>
          <w:sz w:val="21"/>
          <w:szCs w:val="21"/>
        </w:rPr>
        <w:t>36.2经</w:t>
      </w:r>
      <w:r>
        <w:rPr>
          <w:rFonts w:hint="eastAsia" w:ascii="宋体" w:hAnsi="宋体" w:eastAsia="宋体" w:cs="宋体"/>
          <w:color w:val="000000" w:themeColor="text1"/>
          <w:sz w:val="21"/>
          <w:szCs w:val="21"/>
          <w14:textFill>
            <w14:solidFill>
              <w14:schemeClr w14:val="tx1"/>
            </w14:solidFill>
          </w14:textFill>
        </w:rPr>
        <w:t>采购人确认，确定成交人</w:t>
      </w:r>
      <w:r>
        <w:rPr>
          <w:rFonts w:hint="eastAsia" w:ascii="宋体" w:hAnsi="宋体" w:eastAsia="宋体" w:cs="宋体"/>
          <w:sz w:val="21"/>
          <w:szCs w:val="21"/>
        </w:rPr>
        <w:t>。成交结果在浙江龙游县水务集团有限公司网站予以公布，泰宇建筑工程技术咨询有限公司在五日内发出中标通知书。</w:t>
      </w:r>
    </w:p>
    <w:p>
      <w:pPr>
        <w:spacing w:line="360" w:lineRule="auto"/>
        <w:ind w:firstLine="48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36.3</w:t>
      </w:r>
      <w:r>
        <w:rPr>
          <w:rFonts w:hint="eastAsia" w:ascii="宋体" w:hAnsi="宋体" w:eastAsia="宋体" w:cs="宋体"/>
          <w:color w:val="000000" w:themeColor="text1"/>
          <w:sz w:val="21"/>
          <w:szCs w:val="21"/>
          <w14:textFill>
            <w14:solidFill>
              <w14:schemeClr w14:val="tx1"/>
            </w14:solidFill>
          </w14:textFill>
        </w:rPr>
        <w:t>由采购人签发采购中标通知书。中标通知书对采购人和确认成交供应商均具有法律效力。中标通知书发出后，采购人改变成交结果的，或者成交人放弃成交项目的，应当依法承担法律责任。</w:t>
      </w:r>
    </w:p>
    <w:p>
      <w:pPr>
        <w:spacing w:line="360" w:lineRule="auto"/>
        <w:ind w:firstLine="48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36.4在中标通知书发出后七日内，成交人应按中标通知书指定的时间、地点与采购人签订合同。招标文件、成交人的投标文件及澄清文件等，均为签订合同的依据。</w:t>
      </w:r>
    </w:p>
    <w:p>
      <w:pPr>
        <w:spacing w:line="360" w:lineRule="auto"/>
        <w:ind w:firstLine="48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36.5采购人与成交人签署合同协议，泰宇建筑工程技术咨询有限公司作为鉴证人共同签订（合同上请标明采购编号）。合同一式七份，采购人执二份、成交人执二份，泰宇建筑工程技术咨询有限公司及相关部门留存一份。</w:t>
      </w:r>
    </w:p>
    <w:p>
      <w:pPr>
        <w:spacing w:line="360" w:lineRule="auto"/>
        <w:ind w:firstLine="48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37、授予合同时变更数量的权利</w:t>
      </w:r>
    </w:p>
    <w:p>
      <w:pPr>
        <w:spacing w:line="360" w:lineRule="auto"/>
        <w:ind w:firstLine="48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采购合同履行中，采购人需追加与合同标的相同的货物、工程或者服务的，在不改变合同其他条款的前提下，可以与供应商签订补充合同，但所补充合同的采购金额不得超过原采购金额的10%。</w:t>
      </w:r>
    </w:p>
    <w:p>
      <w:pPr>
        <w:spacing w:line="360" w:lineRule="auto"/>
        <w:ind w:firstLine="482"/>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38、履约保证金</w:t>
      </w:r>
    </w:p>
    <w:p>
      <w:pPr>
        <w:spacing w:line="360" w:lineRule="auto"/>
        <w:ind w:firstLine="48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38.1中标人在收到中标通知书后签订合同前向采购人提供</w:t>
      </w:r>
      <w:r>
        <w:rPr>
          <w:rFonts w:hint="eastAsia" w:ascii="宋体" w:hAnsi="宋体" w:eastAsia="宋体" w:cs="宋体"/>
          <w:color w:val="000000" w:themeColor="text1"/>
          <w:sz w:val="21"/>
          <w:szCs w:val="21"/>
          <w:u w:val="single"/>
          <w:lang w:val="en-US" w:eastAsia="zh-CN"/>
          <w14:textFill>
            <w14:solidFill>
              <w14:schemeClr w14:val="tx1"/>
            </w14:solidFill>
          </w14:textFill>
        </w:rPr>
        <w:t>合同价的1%</w:t>
      </w:r>
      <w:r>
        <w:rPr>
          <w:rFonts w:hint="eastAsia" w:ascii="宋体" w:hAnsi="宋体" w:eastAsia="宋体" w:cs="宋体"/>
          <w:color w:val="000000" w:themeColor="text1"/>
          <w:sz w:val="21"/>
          <w:szCs w:val="21"/>
          <w14:textFill>
            <w14:solidFill>
              <w14:schemeClr w14:val="tx1"/>
            </w14:solidFill>
          </w14:textFill>
        </w:rPr>
        <w:t>履约保证金</w:t>
      </w:r>
      <w:r>
        <w:rPr>
          <w:rFonts w:hint="eastAsia" w:ascii="宋体" w:hAnsi="宋体" w:eastAsia="宋体" w:cs="宋体"/>
          <w:color w:val="000000" w:themeColor="text1"/>
          <w:sz w:val="21"/>
          <w:szCs w:val="21"/>
          <w:lang w:val="en-US" w:eastAsia="zh-CN"/>
          <w14:textFill>
            <w14:solidFill>
              <w14:schemeClr w14:val="tx1"/>
            </w14:solidFill>
          </w14:textFill>
        </w:rPr>
        <w:t>即</w:t>
      </w:r>
      <w:r>
        <w:rPr>
          <w:rFonts w:hint="eastAsia" w:ascii="宋体" w:hAnsi="宋体" w:eastAsia="宋体" w:cs="宋体"/>
          <w:color w:val="000000" w:themeColor="text1"/>
          <w:sz w:val="21"/>
          <w:szCs w:val="21"/>
          <w:u w:val="single"/>
          <w:lang w:val="en-US" w:eastAsia="zh-CN"/>
          <w14:textFill>
            <w14:solidFill>
              <w14:schemeClr w14:val="tx1"/>
            </w14:solidFill>
          </w14:textFill>
        </w:rPr>
        <w:t>2900</w:t>
      </w:r>
      <w:r>
        <w:rPr>
          <w:rFonts w:hint="eastAsia" w:ascii="宋体" w:hAnsi="宋体" w:eastAsia="宋体" w:cs="宋体"/>
          <w:color w:val="000000" w:themeColor="text1"/>
          <w:sz w:val="21"/>
          <w:szCs w:val="21"/>
          <w:lang w:val="en-US" w:eastAsia="zh-CN"/>
          <w14:textFill>
            <w14:solidFill>
              <w14:schemeClr w14:val="tx1"/>
            </w14:solidFill>
          </w14:textFill>
        </w:rPr>
        <w:t>元</w:t>
      </w:r>
      <w:r>
        <w:rPr>
          <w:rFonts w:hint="eastAsia" w:ascii="宋体" w:hAnsi="宋体" w:eastAsia="宋体" w:cs="宋体"/>
          <w:color w:val="000000" w:themeColor="text1"/>
          <w:sz w:val="21"/>
          <w:szCs w:val="21"/>
          <w14:textFill>
            <w14:solidFill>
              <w14:schemeClr w14:val="tx1"/>
            </w14:solidFill>
          </w14:textFill>
        </w:rPr>
        <w:t>。</w:t>
      </w:r>
    </w:p>
    <w:p>
      <w:pPr>
        <w:spacing w:line="360" w:lineRule="auto"/>
        <w:ind w:firstLine="482"/>
        <w:rPr>
          <w:rFonts w:hAnsi="宋体"/>
          <w:b/>
          <w:bCs/>
          <w:sz w:val="21"/>
          <w:szCs w:val="21"/>
        </w:rPr>
      </w:pPr>
      <w:bookmarkStart w:id="154" w:name="_Toc14144"/>
      <w:r>
        <w:rPr>
          <w:rFonts w:hint="eastAsia" w:hAnsi="宋体" w:cs="宋体"/>
          <w:b/>
          <w:bCs/>
          <w:sz w:val="21"/>
          <w:szCs w:val="21"/>
        </w:rPr>
        <w:t>39、</w:t>
      </w:r>
      <w:r>
        <w:rPr>
          <w:rFonts w:hint="eastAsia" w:ascii="宋体" w:hAnsi="宋体" w:eastAsia="宋体" w:cs="宋体"/>
          <w:b/>
          <w:bCs/>
          <w:sz w:val="21"/>
          <w:szCs w:val="21"/>
        </w:rPr>
        <w:t>付款方式</w:t>
      </w:r>
      <w:bookmarkEnd w:id="154"/>
    </w:p>
    <w:p>
      <w:pPr>
        <w:spacing w:line="360" w:lineRule="auto"/>
        <w:ind w:firstLine="480"/>
        <w:rPr>
          <w:rFonts w:ascii="宋体" w:hAnsi="宋体" w:eastAsia="宋体" w:cs="宋体"/>
          <w:sz w:val="21"/>
          <w:szCs w:val="21"/>
        </w:rPr>
      </w:pPr>
      <w:r>
        <w:rPr>
          <w:rFonts w:hint="eastAsia" w:ascii="宋体" w:hAnsi="宋体" w:eastAsia="宋体" w:cs="宋体"/>
          <w:sz w:val="21"/>
          <w:szCs w:val="21"/>
        </w:rPr>
        <w:t>39.1 付款方式：详见合同条款。</w:t>
      </w:r>
    </w:p>
    <w:p>
      <w:pPr>
        <w:pStyle w:val="5"/>
        <w:spacing w:before="167" w:after="167" w:line="360" w:lineRule="auto"/>
        <w:ind w:firstLine="0" w:firstLineChars="0"/>
        <w:jc w:val="center"/>
        <w:rPr>
          <w:rFonts w:ascii="宋体" w:hAnsi="宋体" w:eastAsia="宋体" w:cs="宋体"/>
          <w:sz w:val="24"/>
          <w:szCs w:val="24"/>
        </w:rPr>
      </w:pPr>
      <w:bookmarkStart w:id="155" w:name="_Toc14365"/>
      <w:bookmarkStart w:id="156" w:name="_Toc359856808"/>
      <w:bookmarkStart w:id="157" w:name="_Toc19022"/>
      <w:bookmarkStart w:id="158" w:name="_Toc2171"/>
      <w:bookmarkStart w:id="159" w:name="_Toc6881"/>
      <w:bookmarkStart w:id="160" w:name="_Toc356371441"/>
      <w:bookmarkStart w:id="161" w:name="_Toc13783"/>
      <w:bookmarkStart w:id="162" w:name="_Toc26870"/>
      <w:bookmarkStart w:id="163" w:name="_Toc7977"/>
      <w:r>
        <w:rPr>
          <w:rFonts w:hint="eastAsia" w:ascii="宋体" w:hAnsi="宋体" w:eastAsia="宋体" w:cs="宋体"/>
          <w:sz w:val="24"/>
          <w:szCs w:val="24"/>
        </w:rPr>
        <w:t>十三、法律责任</w:t>
      </w:r>
      <w:bookmarkEnd w:id="155"/>
      <w:bookmarkEnd w:id="156"/>
      <w:bookmarkEnd w:id="157"/>
      <w:bookmarkEnd w:id="158"/>
      <w:bookmarkEnd w:id="159"/>
      <w:bookmarkEnd w:id="160"/>
      <w:bookmarkEnd w:id="161"/>
      <w:bookmarkEnd w:id="162"/>
      <w:bookmarkEnd w:id="163"/>
    </w:p>
    <w:p>
      <w:pPr>
        <w:spacing w:line="360" w:lineRule="auto"/>
        <w:ind w:firstLine="480"/>
        <w:rPr>
          <w:rFonts w:ascii="宋体" w:hAnsi="宋体" w:eastAsia="宋体" w:cs="宋体"/>
          <w:sz w:val="21"/>
          <w:szCs w:val="21"/>
        </w:rPr>
      </w:pPr>
      <w:r>
        <w:rPr>
          <w:rFonts w:hint="eastAsia" w:ascii="宋体" w:hAnsi="宋体" w:eastAsia="宋体" w:cs="宋体"/>
          <w:sz w:val="21"/>
          <w:szCs w:val="21"/>
        </w:rPr>
        <w:t>40、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spacing w:line="360" w:lineRule="auto"/>
        <w:ind w:firstLine="480"/>
        <w:rPr>
          <w:rFonts w:ascii="宋体" w:hAnsi="宋体" w:eastAsia="宋体" w:cs="宋体"/>
          <w:sz w:val="21"/>
          <w:szCs w:val="21"/>
        </w:rPr>
      </w:pPr>
      <w:r>
        <w:rPr>
          <w:rFonts w:hint="eastAsia" w:ascii="宋体" w:hAnsi="宋体" w:eastAsia="宋体" w:cs="宋体"/>
          <w:sz w:val="21"/>
          <w:szCs w:val="21"/>
        </w:rPr>
        <w:t>40.1提供虚假材料谋取中标的;</w:t>
      </w:r>
    </w:p>
    <w:p>
      <w:pPr>
        <w:spacing w:line="360" w:lineRule="auto"/>
        <w:ind w:firstLine="480"/>
        <w:rPr>
          <w:rFonts w:ascii="宋体" w:hAnsi="宋体" w:eastAsia="宋体" w:cs="宋体"/>
          <w:sz w:val="21"/>
          <w:szCs w:val="21"/>
        </w:rPr>
      </w:pPr>
      <w:r>
        <w:rPr>
          <w:rFonts w:hint="eastAsia" w:ascii="宋体" w:hAnsi="宋体" w:eastAsia="宋体" w:cs="宋体"/>
          <w:sz w:val="21"/>
          <w:szCs w:val="21"/>
        </w:rPr>
        <w:t>40.2采取不正当手段诋毁、排挤其他投标人的;</w:t>
      </w:r>
    </w:p>
    <w:p>
      <w:pPr>
        <w:spacing w:line="360" w:lineRule="auto"/>
        <w:ind w:firstLine="480"/>
        <w:rPr>
          <w:rFonts w:ascii="宋体" w:hAnsi="宋体" w:eastAsia="宋体" w:cs="宋体"/>
          <w:sz w:val="21"/>
          <w:szCs w:val="21"/>
        </w:rPr>
      </w:pPr>
      <w:r>
        <w:rPr>
          <w:rFonts w:hint="eastAsia" w:ascii="宋体" w:hAnsi="宋体" w:eastAsia="宋体" w:cs="宋体"/>
          <w:sz w:val="21"/>
          <w:szCs w:val="21"/>
        </w:rPr>
        <w:t>40.3与采购人、采购代理机构、其他投标人恶意串通的;</w:t>
      </w:r>
    </w:p>
    <w:p>
      <w:pPr>
        <w:spacing w:line="360" w:lineRule="auto"/>
        <w:ind w:firstLine="480"/>
        <w:rPr>
          <w:rFonts w:ascii="宋体" w:hAnsi="宋体" w:eastAsia="宋体" w:cs="宋体"/>
          <w:sz w:val="21"/>
          <w:szCs w:val="21"/>
        </w:rPr>
      </w:pPr>
      <w:r>
        <w:rPr>
          <w:rFonts w:hint="eastAsia" w:ascii="宋体" w:hAnsi="宋体" w:eastAsia="宋体" w:cs="宋体"/>
          <w:sz w:val="21"/>
          <w:szCs w:val="21"/>
        </w:rPr>
        <w:t>40.4向采购人、采购代理机构行贿或者提供其他不正当利益的;</w:t>
      </w:r>
    </w:p>
    <w:p>
      <w:pPr>
        <w:spacing w:line="360" w:lineRule="auto"/>
        <w:ind w:firstLine="480"/>
        <w:rPr>
          <w:rFonts w:ascii="宋体" w:hAnsi="宋体" w:eastAsia="宋体" w:cs="宋体"/>
          <w:sz w:val="21"/>
          <w:szCs w:val="21"/>
        </w:rPr>
      </w:pPr>
      <w:r>
        <w:rPr>
          <w:rFonts w:hint="eastAsia" w:ascii="宋体" w:hAnsi="宋体" w:eastAsia="宋体" w:cs="宋体"/>
          <w:sz w:val="21"/>
          <w:szCs w:val="21"/>
        </w:rPr>
        <w:t>40.5在招标过程中与采购人进行协商谈判、不按照招标文件和中标人的投标文件订立合同,或者与采购人另行订立背离合同实质性内容的协议的;</w:t>
      </w:r>
    </w:p>
    <w:p>
      <w:pPr>
        <w:spacing w:afterAutospacing="0" w:line="360" w:lineRule="auto"/>
        <w:ind w:firstLine="480"/>
        <w:rPr>
          <w:rFonts w:ascii="宋体" w:hAnsi="宋体" w:eastAsia="宋体" w:cs="宋体"/>
          <w:sz w:val="21"/>
          <w:szCs w:val="21"/>
        </w:rPr>
      </w:pPr>
      <w:r>
        <w:rPr>
          <w:rFonts w:hint="eastAsia" w:ascii="宋体" w:hAnsi="宋体" w:eastAsia="宋体" w:cs="宋体"/>
          <w:sz w:val="21"/>
          <w:szCs w:val="21"/>
        </w:rPr>
        <w:t>40.6拒绝有关部门监督检查或者提供虚假情况的；</w:t>
      </w:r>
    </w:p>
    <w:p>
      <w:pPr>
        <w:adjustRightInd w:val="0"/>
        <w:snapToGrid w:val="0"/>
        <w:spacing w:before="88" w:beforeLines="26" w:beforeAutospacing="0" w:afterAutospacing="0" w:line="360" w:lineRule="auto"/>
        <w:ind w:firstLine="482"/>
        <w:jc w:val="center"/>
        <w:rPr>
          <w:rFonts w:ascii="宋体" w:hAnsi="宋体" w:eastAsia="宋体" w:cs="宋体"/>
          <w:b/>
        </w:rPr>
      </w:pPr>
      <w:bookmarkStart w:id="164" w:name="_Toc28443"/>
      <w:bookmarkStart w:id="165" w:name="_Toc20799"/>
      <w:bookmarkStart w:id="166" w:name="_Toc31059"/>
      <w:bookmarkStart w:id="167" w:name="_Toc359856809"/>
      <w:bookmarkStart w:id="168" w:name="_Toc29923"/>
      <w:bookmarkStart w:id="169" w:name="_Toc7500"/>
      <w:bookmarkStart w:id="170" w:name="_Toc356371442"/>
      <w:bookmarkStart w:id="171" w:name="_Toc28634"/>
      <w:r>
        <w:rPr>
          <w:rFonts w:hint="eastAsia" w:ascii="宋体" w:hAnsi="宋体" w:eastAsia="宋体" w:cs="宋体"/>
          <w:b/>
        </w:rPr>
        <w:t>十四、项目需要落实的政府采购政策</w:t>
      </w:r>
    </w:p>
    <w:p>
      <w:pPr>
        <w:adjustRightInd w:val="0"/>
        <w:snapToGrid w:val="0"/>
        <w:spacing w:beforeAutospacing="0" w:line="360" w:lineRule="auto"/>
        <w:ind w:firstLine="480"/>
        <w:rPr>
          <w:rFonts w:ascii="宋体" w:hAnsi="宋体" w:eastAsia="宋体" w:cs="宋体"/>
          <w:sz w:val="21"/>
          <w:szCs w:val="21"/>
        </w:rPr>
      </w:pPr>
      <w:r>
        <w:rPr>
          <w:rFonts w:hint="eastAsia" w:ascii="宋体" w:hAnsi="宋体" w:eastAsia="宋体" w:cs="宋体"/>
          <w:sz w:val="21"/>
          <w:szCs w:val="21"/>
        </w:rPr>
        <w:t>41、中小企业参与政府采购活动</w:t>
      </w:r>
    </w:p>
    <w:p>
      <w:pPr>
        <w:adjustRightInd w:val="0"/>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根据《中小企业划型标准规定》（工信部联企业[2011]300号）、《政府采购促进中小企业发展管理办法》（财库[2020]46号，以下简称《办法》）、</w:t>
      </w:r>
      <w:r>
        <w:rPr>
          <w:rFonts w:ascii="宋体" w:hAnsi="宋体" w:eastAsia="宋体" w:cs="宋体"/>
          <w:sz w:val="21"/>
          <w:szCs w:val="21"/>
        </w:rPr>
        <w:t>《浙江省财政厅关于进一步发挥政府采购政策功能全力推动经济稳进提质的通知》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宋体" w:hAnsi="宋体" w:eastAsia="宋体" w:cs="宋体"/>
          <w:sz w:val="21"/>
          <w:szCs w:val="21"/>
        </w:rPr>
        <w:t>的有关规定，《办法》所称中小企业（含中型、小型、微型企业，下同）应当同时符合以下条件。</w:t>
      </w:r>
    </w:p>
    <w:p>
      <w:pPr>
        <w:adjustRightInd w:val="0"/>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41.1.符合中小企业划分标准；</w:t>
      </w:r>
    </w:p>
    <w:p>
      <w:pPr>
        <w:adjustRightInd w:val="0"/>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（一）在货物采购项目中，货物由中小企业制造，即货物由中小企业生产且使用该中小企业商号或者注册商标；</w:t>
      </w:r>
    </w:p>
    <w:p>
      <w:pPr>
        <w:adjustRightInd w:val="0"/>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（二）在工程采购项目中，工程由中小企业承建，即工程施工单位为中小企业；</w:t>
      </w:r>
    </w:p>
    <w:p>
      <w:pPr>
        <w:adjustRightInd w:val="0"/>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（三）在服务采购项目中，服务由中小企业承接，即提供服务的人员为中小企业依照《民法典》订立劳动合同的从业人员。</w:t>
      </w:r>
    </w:p>
    <w:p>
      <w:pPr>
        <w:adjustRightInd w:val="0"/>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在货物采购项目中，供应商提供的货物既有中小企业制造货物，也有大型企业制造货物的，不享受本办法规定的中小企业扶持政策。</w:t>
      </w:r>
    </w:p>
    <w:p>
      <w:pPr>
        <w:adjustRightInd w:val="0"/>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以联合体形式参加政府采购活动，联合体各方均为中小企业的，联合体视同中小企业。其中，联合体各方均为小微企业的，联合体视同小微企业。</w:t>
      </w:r>
    </w:p>
    <w:p>
      <w:pPr>
        <w:adjustRightInd w:val="0"/>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41.1.1所投所有产品的制造商如为中小企业，参加询价响应时，在响应文件中响应方应提供制造商的《中小企业声明函》。</w:t>
      </w:r>
    </w:p>
    <w:p>
      <w:pPr>
        <w:adjustRightInd w:val="0"/>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41.1.2特别说明：本款适用于所投的所有产品的制造商均为中小企业（所投产品中有大型企业提供的不适用于本款）。响应方在《《中小企业声明函》（统一格式）详细、完整填写，否则将不能享受商务报价里中小企业产品优惠政策。</w:t>
      </w:r>
    </w:p>
    <w:p>
      <w:pPr>
        <w:adjustRightInd w:val="0"/>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41.2监狱企业参与政府采购活动</w:t>
      </w:r>
    </w:p>
    <w:p>
      <w:pPr>
        <w:adjustRightInd w:val="0"/>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符合财政部 司法部《关于政府采购支持监狱企业发展有关问题的通知》（财库〔2014〕68号）规定。</w:t>
      </w:r>
    </w:p>
    <w:p>
      <w:pPr>
        <w:adjustRightInd w:val="0"/>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adjustRightInd w:val="0"/>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41.3残疾人福利性单位参与政府采购活动</w:t>
      </w:r>
    </w:p>
    <w:p>
      <w:pPr>
        <w:adjustRightInd w:val="0"/>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符合财政部 民政部 中国残疾人联合会《关于促进残疾人就业政府采购政策的通知》（财库〔2017〕141号）规定的单位。</w:t>
      </w:r>
    </w:p>
    <w:p>
      <w:pPr>
        <w:adjustRightInd w:val="0"/>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享受政府采购支持政策的残疾人福利性单位应当同时满足以下条件： </w:t>
      </w:r>
    </w:p>
    <w:p>
      <w:pPr>
        <w:adjustRightInd w:val="0"/>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（一）安置的残疾人占本单位在职职工人数的比例不低于25%（含25%），并且安置的残疾人人数不少于10人（含10人）； </w:t>
      </w:r>
    </w:p>
    <w:p>
      <w:pPr>
        <w:adjustRightInd w:val="0"/>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（二）依法与安置的每位残疾人签订了一年以上（含一年）的劳动合同或服务协议； </w:t>
      </w:r>
    </w:p>
    <w:p>
      <w:pPr>
        <w:adjustRightInd w:val="0"/>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（三）为安置的每位残疾人按月足额缴纳了基本养老保险、基本医疗保险、失业保险、工伤保险和生育保险等社会保险费；</w:t>
      </w:r>
    </w:p>
    <w:p>
      <w:pPr>
        <w:adjustRightInd w:val="0"/>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（四）通过银行等金融机构向安置的每位残疾人，按月支付了不低于单位所在区县适用的经省级人民政府批准的月最低工资标准的工资；</w:t>
      </w:r>
    </w:p>
    <w:p>
      <w:pPr>
        <w:adjustRightInd w:val="0"/>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（五）提供本单位制造的货物、承担的工程或者服务（以下简称产品），或者提供其他残疾人福利性单位制造的货物（不包括使用非残疾人福利性单位注册商标的货物）。</w:t>
      </w:r>
    </w:p>
    <w:p>
      <w:pPr>
        <w:adjustRightInd w:val="0"/>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残疾人福利性单位属于中小型企业的，不重复享受政策。供应商提供的《残疾人福利性单位声明函》与事实不符的，依照《政府采购法》第七十七条第一款的规定追究法律责任。</w:t>
      </w:r>
    </w:p>
    <w:p>
      <w:pPr>
        <w:adjustRightInd w:val="0"/>
        <w:snapToGrid w:val="0"/>
        <w:spacing w:line="360" w:lineRule="auto"/>
        <w:ind w:firstLine="480"/>
        <w:rPr>
          <w:rFonts w:ascii="宋体" w:hAnsi="宋体" w:eastAsia="宋体" w:cs="宋体"/>
          <w:sz w:val="21"/>
          <w:szCs w:val="21"/>
        </w:rPr>
      </w:pPr>
      <w:r>
        <w:rPr>
          <w:rFonts w:hint="eastAsia" w:ascii="宋体" w:hAnsi="宋体" w:eastAsia="宋体" w:cs="宋体"/>
          <w:sz w:val="21"/>
          <w:szCs w:val="21"/>
        </w:rPr>
        <w:t>成交供应商为残疾人福利性单位的，应当随成交结果同时公告其《残疾人福利性单位声明函》，接受社会监督。</w:t>
      </w:r>
    </w:p>
    <w:p>
      <w:pPr>
        <w:adjustRightInd w:val="0"/>
        <w:snapToGrid w:val="0"/>
        <w:spacing w:afterAutospacing="0" w:line="360" w:lineRule="auto"/>
        <w:ind w:firstLine="480"/>
        <w:rPr>
          <w:rFonts w:ascii="宋体" w:hAnsi="宋体" w:eastAsia="宋体" w:cs="宋体"/>
          <w:sz w:val="21"/>
          <w:szCs w:val="21"/>
        </w:rPr>
      </w:pPr>
      <w:r>
        <w:rPr>
          <w:rFonts w:hint="eastAsia" w:ascii="宋体" w:hAnsi="宋体" w:eastAsia="宋体" w:cs="宋体"/>
          <w:sz w:val="21"/>
          <w:szCs w:val="21"/>
        </w:rPr>
        <w:t>41.4说明：</w:t>
      </w:r>
      <w:r>
        <w:rPr>
          <w:rFonts w:hint="eastAsia" w:ascii="宋体" w:hAnsi="宋体" w:eastAsia="宋体" w:cs="宋体"/>
          <w:sz w:val="21"/>
          <w:szCs w:val="21"/>
          <w:lang w:val="en-US" w:eastAsia="zh-CN"/>
        </w:rPr>
        <w:t>货物</w:t>
      </w:r>
      <w:r>
        <w:rPr>
          <w:rFonts w:hint="eastAsia" w:ascii="宋体" w:hAnsi="宋体" w:eastAsia="宋体" w:cs="宋体"/>
          <w:sz w:val="21"/>
          <w:szCs w:val="21"/>
        </w:rPr>
        <w:t>务由中小企业或残疾人福利性单位或监狱企业</w:t>
      </w:r>
      <w:r>
        <w:rPr>
          <w:rFonts w:hint="eastAsia" w:ascii="宋体" w:hAnsi="宋体" w:eastAsia="宋体" w:cs="宋体"/>
          <w:sz w:val="21"/>
          <w:szCs w:val="21"/>
          <w:lang w:val="en-US" w:eastAsia="zh-CN"/>
        </w:rPr>
        <w:t>制造</w:t>
      </w:r>
      <w:r>
        <w:rPr>
          <w:rFonts w:hint="eastAsia" w:ascii="宋体" w:hAnsi="宋体" w:eastAsia="宋体" w:cs="宋体"/>
          <w:sz w:val="21"/>
          <w:szCs w:val="21"/>
        </w:rPr>
        <w:t>的响应报价扣减10%后再计入报价得分的评审（不累计扣减）。</w:t>
      </w:r>
    </w:p>
    <w:p>
      <w:pPr>
        <w:adjustRightInd w:val="0"/>
        <w:snapToGrid w:val="0"/>
        <w:spacing w:before="73" w:beforeLines="21" w:beforeAutospacing="0" w:afterAutospacing="0" w:line="360" w:lineRule="auto"/>
        <w:ind w:firstLine="482"/>
        <w:jc w:val="center"/>
        <w:rPr>
          <w:rFonts w:hint="eastAsia" w:ascii="宋体" w:hAnsi="宋体" w:eastAsia="宋体" w:cs="宋体"/>
          <w:b/>
        </w:rPr>
      </w:pPr>
      <w:bookmarkStart w:id="172" w:name="_Toc11406"/>
      <w:bookmarkStart w:id="173" w:name="_Toc14357"/>
      <w:bookmarkStart w:id="174" w:name="_Toc31400"/>
      <w:bookmarkStart w:id="175" w:name="_Toc4552"/>
      <w:bookmarkStart w:id="176" w:name="_Toc25922"/>
      <w:bookmarkStart w:id="177" w:name="_Toc10820"/>
      <w:bookmarkStart w:id="178" w:name="_Toc30402"/>
      <w:bookmarkStart w:id="179" w:name="_Toc2365"/>
      <w:bookmarkStart w:id="180" w:name="_Toc23725"/>
      <w:bookmarkStart w:id="181" w:name="_Toc27913"/>
      <w:bookmarkStart w:id="182" w:name="_Toc1963"/>
      <w:bookmarkStart w:id="183" w:name="_Toc13193"/>
      <w:r>
        <w:rPr>
          <w:rFonts w:hint="eastAsia" w:ascii="宋体" w:hAnsi="宋体" w:eastAsia="宋体" w:cs="宋体"/>
          <w:b/>
        </w:rPr>
        <w:t>十</w:t>
      </w:r>
      <w:r>
        <w:rPr>
          <w:rFonts w:hint="eastAsia" w:ascii="宋体" w:hAnsi="宋体" w:eastAsia="宋体" w:cs="宋体"/>
          <w:b/>
          <w:lang w:val="en-US" w:eastAsia="zh-CN"/>
        </w:rPr>
        <w:t>五</w:t>
      </w:r>
      <w:r>
        <w:rPr>
          <w:rFonts w:hint="eastAsia" w:ascii="宋体" w:hAnsi="宋体" w:eastAsia="宋体" w:cs="宋体"/>
          <w:b/>
        </w:rPr>
        <w:t>、诚信管理</w:t>
      </w:r>
      <w:bookmarkEnd w:id="172"/>
      <w:bookmarkEnd w:id="173"/>
      <w:bookmarkEnd w:id="174"/>
      <w:bookmarkEnd w:id="175"/>
      <w:bookmarkEnd w:id="176"/>
      <w:bookmarkEnd w:id="177"/>
      <w:bookmarkEnd w:id="178"/>
      <w:bookmarkEnd w:id="179"/>
      <w:bookmarkEnd w:id="180"/>
      <w:bookmarkEnd w:id="181"/>
      <w:bookmarkEnd w:id="182"/>
      <w:bookmarkEnd w:id="183"/>
    </w:p>
    <w:p>
      <w:pPr>
        <w:adjustRightInd w:val="0"/>
        <w:snapToGrid w:val="0"/>
        <w:spacing w:beforeAutospacing="0" w:line="360" w:lineRule="auto"/>
        <w:ind w:firstLine="480"/>
        <w:rPr>
          <w:rFonts w:hint="eastAsia" w:ascii="宋体" w:hAnsi="宋体" w:eastAsia="宋体" w:cs="宋体"/>
          <w:sz w:val="21"/>
          <w:szCs w:val="21"/>
        </w:rPr>
      </w:pPr>
      <w:r>
        <w:rPr>
          <w:rFonts w:hint="eastAsia" w:ascii="宋体" w:hAnsi="宋体" w:eastAsia="宋体" w:cs="宋体"/>
          <w:sz w:val="21"/>
          <w:szCs w:val="21"/>
          <w:lang w:val="en-US" w:eastAsia="zh-CN"/>
        </w:rPr>
        <w:t>42.</w:t>
      </w:r>
      <w:r>
        <w:rPr>
          <w:rFonts w:hint="eastAsia" w:ascii="宋体" w:hAnsi="宋体" w:eastAsia="宋体" w:cs="宋体"/>
          <w:sz w:val="21"/>
          <w:szCs w:val="21"/>
        </w:rPr>
        <w:t>投标人有下列情形之一的，依据《关于印发浙江省政府投标人注册及诚信管理暂行办法通知》[浙财采监字〔2009〕28号]文件第三十八条和第三十九条的规定记录不良行为、黑名单及处罚。</w:t>
      </w:r>
    </w:p>
    <w:p>
      <w:pPr>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lang w:val="en-US" w:eastAsia="zh-CN"/>
        </w:rPr>
        <w:t>42.1</w:t>
      </w:r>
      <w:r>
        <w:rPr>
          <w:rFonts w:hint="eastAsia" w:ascii="宋体" w:hAnsi="宋体" w:eastAsia="宋体" w:cs="宋体"/>
          <w:sz w:val="21"/>
          <w:szCs w:val="21"/>
        </w:rPr>
        <w:t>注册投标人有下列情形之一的，采购人或采购代理机构应按不良行为记入该注册投标人诚信档案中：</w:t>
      </w:r>
    </w:p>
    <w:p>
      <w:pPr>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（一）开标后擅自撤回采购投标文件，影响采购活动继续进行的；</w:t>
      </w:r>
    </w:p>
    <w:p>
      <w:pPr>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（二）中标、成交后无正当理由拒绝签订国企采购合同，或者与采购人另行订立背离合同实质内容的协议的；</w:t>
      </w:r>
    </w:p>
    <w:p>
      <w:pPr>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（三）无正当理由拒绝履行合同和有关承诺，或擅自变更、中止（终止）国企采购合同的；</w:t>
      </w:r>
    </w:p>
    <w:p>
      <w:pPr>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（四）超过合同约定的供货（或服务）时间达10日以上的；</w:t>
      </w:r>
    </w:p>
    <w:p>
      <w:pPr>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（五）中标、成交后，将国企采购合同转包或擅自分包给其他投标人的；</w:t>
      </w:r>
    </w:p>
    <w:p>
      <w:pPr>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（六）提供假冒伪劣产品或走私物品的；</w:t>
      </w:r>
    </w:p>
    <w:p>
      <w:pPr>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（七）擅自降低产品质量等次和售后服务，或以次充好、偷工减料的；</w:t>
      </w:r>
    </w:p>
    <w:p>
      <w:pPr>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（八）实际提供的有关产品性能指标和技术服务能力明显低于采购响应文件或询标、谈判时的承诺；</w:t>
      </w:r>
    </w:p>
    <w:p>
      <w:pPr>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（九）在投标人库中发布的产品服务信息或在政府采购网上宣传的信息与实际明显不符，或故意误导采购人的；</w:t>
      </w:r>
    </w:p>
    <w:p>
      <w:pPr>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（十）不按规定或不及时变更投标人库中的有关信息的；</w:t>
      </w:r>
    </w:p>
    <w:p>
      <w:pPr>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（十一）1年内在全省被质疑或投诉累计分别在20和10次以上且60%以上被驳回的，或恶意举报给采购人或采购代理机构造成损害的；</w:t>
      </w:r>
    </w:p>
    <w:p>
      <w:pPr>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（十二）各级财政部门认定的其它有违诚实信用的行为。</w:t>
      </w:r>
    </w:p>
    <w:p>
      <w:pPr>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42.2</w:t>
      </w:r>
      <w:r>
        <w:rPr>
          <w:rFonts w:hint="eastAsia" w:ascii="宋体" w:hAnsi="宋体" w:eastAsia="宋体" w:cs="宋体"/>
          <w:sz w:val="21"/>
          <w:szCs w:val="21"/>
        </w:rPr>
        <w:t>注册投标人有下列情形之一的，采购人或采购代理机构应向同级主管部门书面报告，并提请主管部门将其列入“黑名单”或者依法作出处罚；各级主管部门在依法处罚的同时，应将该情况按不良行为记入该投标人诚信档案中，同时将该投标人列入“黑名单”公开曝光：</w:t>
      </w:r>
    </w:p>
    <w:p>
      <w:pPr>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（一）提供虚假材料谋取中标、成交的；</w:t>
      </w:r>
    </w:p>
    <w:p>
      <w:pPr>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（二）采取不正当手段诋毁、排挤其他投标人的；</w:t>
      </w:r>
    </w:p>
    <w:p>
      <w:pPr>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（三）与采购人、其他投标人或者采购代理机构恶意串通的；</w:t>
      </w:r>
    </w:p>
    <w:p>
      <w:pPr>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（四）向采购人、采购代理机构行贿或提供其他不正当利益，或因此被其他国家机关立案查实的；</w:t>
      </w:r>
    </w:p>
    <w:p>
      <w:pPr>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（五）在招标采购过程中与采购人进行协商谈判的；</w:t>
      </w:r>
    </w:p>
    <w:p>
      <w:pPr>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（六）哄抬、操纵国企采购报价，或国企采购价格（包括产品及其配件、试剂、耗材等价格）明显高于市场平均价的；</w:t>
      </w:r>
    </w:p>
    <w:p>
      <w:pPr>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（七）提供虚假材料骗取注册投标人资格的；</w:t>
      </w:r>
    </w:p>
    <w:p>
      <w:pPr>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（八）伪造《浙江省政府采购注册投标人信息登记表》的；</w:t>
      </w:r>
    </w:p>
    <w:p>
      <w:pPr>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（九）销售或发布法律、法规禁止销售的商品、服务和其他违法信息的；</w:t>
      </w:r>
    </w:p>
    <w:p>
      <w:pPr>
        <w:adjustRightInd w:val="0"/>
        <w:snapToGrid w:val="0"/>
        <w:spacing w:line="360" w:lineRule="auto"/>
        <w:ind w:firstLine="480"/>
        <w:rPr>
          <w:rFonts w:hint="eastAsia" w:ascii="宋体" w:hAnsi="宋体" w:eastAsia="宋体" w:cs="宋体"/>
          <w:sz w:val="21"/>
          <w:szCs w:val="21"/>
        </w:rPr>
      </w:pPr>
      <w:r>
        <w:rPr>
          <w:rFonts w:hint="eastAsia" w:ascii="宋体" w:hAnsi="宋体" w:eastAsia="宋体" w:cs="宋体"/>
          <w:sz w:val="21"/>
          <w:szCs w:val="21"/>
        </w:rPr>
        <w:t>（十）其它违反法律、法规和政府采购管理有关规定的行为的。</w:t>
      </w:r>
    </w:p>
    <w:p>
      <w:pPr>
        <w:rPr>
          <w:rFonts w:hint="eastAsia"/>
        </w:rPr>
      </w:pPr>
      <w:r>
        <w:rPr>
          <w:rFonts w:hint="eastAsia" w:ascii="宋体" w:hAnsi="宋体" w:eastAsia="宋体" w:cs="宋体"/>
          <w:sz w:val="21"/>
          <w:szCs w:val="21"/>
        </w:rPr>
        <w:br w:type="page"/>
      </w:r>
    </w:p>
    <w:bookmarkEnd w:id="164"/>
    <w:bookmarkEnd w:id="165"/>
    <w:bookmarkEnd w:id="166"/>
    <w:bookmarkEnd w:id="167"/>
    <w:bookmarkEnd w:id="168"/>
    <w:bookmarkEnd w:id="169"/>
    <w:bookmarkEnd w:id="170"/>
    <w:bookmarkEnd w:id="171"/>
    <w:p>
      <w:pPr>
        <w:pStyle w:val="4"/>
        <w:numPr>
          <w:ilvl w:val="0"/>
          <w:numId w:val="8"/>
        </w:numPr>
        <w:spacing w:before="95" w:after="167"/>
        <w:rPr>
          <w:rFonts w:ascii="宋体" w:hAnsi="宋体" w:eastAsia="宋体" w:cs="宋体"/>
          <w:sz w:val="36"/>
          <w:szCs w:val="36"/>
          <w:highlight w:val="none"/>
        </w:rPr>
      </w:pPr>
      <w:bookmarkStart w:id="184" w:name="_Toc4130"/>
      <w:bookmarkStart w:id="185" w:name="_Toc11381"/>
      <w:bookmarkStart w:id="186" w:name="_Toc31279"/>
      <w:bookmarkStart w:id="187" w:name="_Toc853"/>
      <w:bookmarkStart w:id="188" w:name="_Toc359856810"/>
      <w:bookmarkStart w:id="189" w:name="_Toc19002"/>
      <w:bookmarkStart w:id="190" w:name="_Toc354401531"/>
      <w:bookmarkStart w:id="191" w:name="_Toc322352983"/>
      <w:bookmarkStart w:id="192" w:name="_Toc350256314"/>
      <w:bookmarkStart w:id="193" w:name="_Toc13314"/>
      <w:r>
        <w:rPr>
          <w:rFonts w:hint="eastAsia" w:ascii="宋体" w:hAnsi="宋体" w:eastAsia="宋体" w:cs="宋体"/>
          <w:sz w:val="36"/>
          <w:szCs w:val="36"/>
          <w:highlight w:val="none"/>
        </w:rPr>
        <w:t xml:space="preserve"> </w:t>
      </w:r>
      <w:bookmarkStart w:id="194" w:name="_Toc5495"/>
      <w:bookmarkStart w:id="195" w:name="_Toc24049"/>
      <w:r>
        <w:rPr>
          <w:rFonts w:hint="eastAsia" w:ascii="宋体" w:hAnsi="宋体" w:eastAsia="宋体" w:cs="宋体"/>
          <w:sz w:val="36"/>
          <w:szCs w:val="36"/>
          <w:highlight w:val="none"/>
        </w:rPr>
        <w:t>采购内容及要求</w:t>
      </w:r>
      <w:bookmarkEnd w:id="184"/>
      <w:bookmarkEnd w:id="185"/>
      <w:bookmarkEnd w:id="186"/>
      <w:bookmarkEnd w:id="187"/>
      <w:bookmarkEnd w:id="188"/>
      <w:bookmarkEnd w:id="189"/>
      <w:bookmarkEnd w:id="190"/>
      <w:bookmarkEnd w:id="191"/>
      <w:bookmarkEnd w:id="192"/>
      <w:bookmarkEnd w:id="193"/>
      <w:bookmarkEnd w:id="194"/>
      <w:bookmarkEnd w:id="195"/>
    </w:p>
    <w:p>
      <w:pPr>
        <w:keepNext w:val="0"/>
        <w:keepLines w:val="0"/>
        <w:pageBreakBefore w:val="0"/>
        <w:widowControl/>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kern w:val="0"/>
          <w:sz w:val="21"/>
          <w:szCs w:val="21"/>
          <w:highlight w:val="none"/>
          <w:lang w:eastAsia="zh-CN" w:bidi="ar"/>
        </w:rPr>
      </w:pPr>
      <w:bookmarkStart w:id="196" w:name="_Toc13379"/>
      <w:bookmarkStart w:id="197" w:name="_Toc22350"/>
      <w:bookmarkStart w:id="198" w:name="_Toc26991"/>
      <w:bookmarkStart w:id="199" w:name="_Toc16700"/>
      <w:bookmarkStart w:id="200" w:name="_Toc497376089"/>
      <w:bookmarkStart w:id="201" w:name="_Toc493957142"/>
      <w:bookmarkStart w:id="202" w:name="_Toc486423880"/>
      <w:bookmarkStart w:id="203" w:name="_Toc493956030"/>
      <w:bookmarkStart w:id="204" w:name="_Toc1657"/>
      <w:bookmarkStart w:id="205" w:name="_Toc23045"/>
      <w:bookmarkStart w:id="206" w:name="_Toc3640"/>
      <w:bookmarkStart w:id="207" w:name="_Toc23761"/>
      <w:bookmarkStart w:id="208" w:name="_Toc359856816"/>
      <w:bookmarkStart w:id="209" w:name="_Toc23468"/>
      <w:bookmarkStart w:id="210" w:name="_Toc14479"/>
      <w:bookmarkStart w:id="211" w:name="_Toc354401534"/>
      <w:bookmarkStart w:id="212" w:name="_Toc350256315"/>
      <w:bookmarkStart w:id="213" w:name="_Toc19570"/>
      <w:bookmarkStart w:id="214" w:name="_Toc322352984"/>
      <w:r>
        <w:rPr>
          <w:rFonts w:hint="eastAsia" w:ascii="宋体" w:hAnsi="宋体" w:eastAsia="宋体" w:cs="宋体"/>
          <w:b/>
          <w:kern w:val="0"/>
          <w:sz w:val="21"/>
          <w:szCs w:val="21"/>
          <w:highlight w:val="none"/>
          <w:lang w:eastAsia="zh-CN" w:bidi="ar"/>
        </w:rPr>
        <w:t>一、产地要求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根据法律法规，本项目采购产品须为中华人民共和国境内（不含港、澳、台）生产或组装。</w:t>
      </w:r>
    </w:p>
    <w:bookmarkEnd w:id="196"/>
    <w:bookmarkEnd w:id="197"/>
    <w:bookmarkEnd w:id="198"/>
    <w:bookmarkEnd w:id="199"/>
    <w:bookmarkEnd w:id="200"/>
    <w:bookmarkEnd w:id="201"/>
    <w:bookmarkEnd w:id="202"/>
    <w:bookmarkEnd w:id="203"/>
    <w:p>
      <w:pPr>
        <w:pStyle w:val="15"/>
        <w:spacing w:line="360" w:lineRule="auto"/>
        <w:ind w:firstLine="482"/>
        <w:rPr>
          <w:rFonts w:hint="eastAsia" w:ascii="宋体" w:hAnsi="宋体" w:eastAsia="宋体" w:cs="宋体"/>
          <w:b/>
          <w:bCs/>
          <w:i w:val="0"/>
          <w:iCs w:val="0"/>
          <w:color w:val="auto"/>
          <w:kern w:val="2"/>
          <w:sz w:val="21"/>
          <w:szCs w:val="21"/>
          <w:highlight w:val="none"/>
          <w:lang w:val="en-US" w:eastAsia="zh-CN" w:bidi="ar-SA"/>
        </w:rPr>
      </w:pPr>
      <w:bookmarkStart w:id="215" w:name="_Toc22407"/>
      <w:bookmarkStart w:id="216" w:name="_Toc13528"/>
      <w:bookmarkStart w:id="217" w:name="_Toc642"/>
      <w:bookmarkStart w:id="218" w:name="_Toc599"/>
      <w:bookmarkStart w:id="219" w:name="_Toc27779"/>
      <w:bookmarkStart w:id="220" w:name="_Toc24682"/>
      <w:bookmarkStart w:id="221" w:name="_Toc10368"/>
      <w:bookmarkStart w:id="222" w:name="_Toc18027"/>
      <w:bookmarkStart w:id="223" w:name="_Toc18789"/>
      <w:bookmarkStart w:id="224" w:name="_Toc32429"/>
      <w:bookmarkStart w:id="225" w:name="_Toc31419"/>
      <w:bookmarkStart w:id="226" w:name="_Toc32546"/>
      <w:bookmarkStart w:id="227" w:name="_Toc19997"/>
      <w:bookmarkStart w:id="228" w:name="_Toc23629"/>
      <w:bookmarkStart w:id="229" w:name="_Toc24868"/>
      <w:bookmarkStart w:id="230" w:name="_Toc2124"/>
      <w:bookmarkStart w:id="231" w:name="_Toc19613"/>
      <w:bookmarkStart w:id="232" w:name="_Toc7869"/>
      <w:bookmarkStart w:id="233" w:name="_Toc24232"/>
      <w:bookmarkStart w:id="234" w:name="_Toc13104"/>
      <w:bookmarkStart w:id="235" w:name="_Toc22689"/>
      <w:bookmarkStart w:id="236" w:name="_Toc10661"/>
      <w:bookmarkStart w:id="237" w:name="_Toc26937"/>
      <w:bookmarkStart w:id="238" w:name="_Toc25369"/>
      <w:bookmarkStart w:id="239" w:name="_Toc5861"/>
      <w:bookmarkStart w:id="240" w:name="_Toc18254"/>
      <w:bookmarkStart w:id="241" w:name="_Toc344208599"/>
      <w:bookmarkStart w:id="242" w:name="_Toc14588"/>
      <w:bookmarkStart w:id="243" w:name="_Toc17848"/>
      <w:bookmarkStart w:id="244" w:name="_Toc21158"/>
      <w:bookmarkStart w:id="245" w:name="_Toc23253"/>
      <w:bookmarkStart w:id="246" w:name="_Toc11499"/>
      <w:bookmarkStart w:id="247" w:name="_Toc27760"/>
      <w:bookmarkStart w:id="248" w:name="_Toc25648"/>
      <w:bookmarkStart w:id="249" w:name="_Toc12737"/>
      <w:bookmarkStart w:id="250" w:name="_Toc16212"/>
      <w:bookmarkStart w:id="251" w:name="_Toc17310"/>
      <w:bookmarkStart w:id="252" w:name="_Toc25940"/>
      <w:bookmarkStart w:id="253" w:name="_Toc11262"/>
      <w:bookmarkStart w:id="254" w:name="_Toc24000"/>
      <w:bookmarkStart w:id="255" w:name="_Toc21988"/>
      <w:bookmarkStart w:id="256" w:name="_Toc4470"/>
      <w:bookmarkStart w:id="257" w:name="_Toc27764"/>
      <w:bookmarkStart w:id="258" w:name="_Toc4125"/>
      <w:bookmarkStart w:id="259" w:name="_Toc434"/>
      <w:bookmarkStart w:id="260" w:name="_Toc16765"/>
      <w:bookmarkStart w:id="261" w:name="_Toc12706"/>
      <w:bookmarkStart w:id="262" w:name="_Toc3828"/>
      <w:bookmarkStart w:id="263" w:name="_Toc32666"/>
      <w:bookmarkStart w:id="264" w:name="_Toc10724"/>
      <w:bookmarkStart w:id="265" w:name="_Toc150404637"/>
      <w:bookmarkStart w:id="266" w:name="_Toc27554"/>
      <w:bookmarkStart w:id="267" w:name="_Toc391298963"/>
      <w:bookmarkStart w:id="268" w:name="_Toc32485"/>
      <w:bookmarkStart w:id="269" w:name="_Toc9754"/>
      <w:bookmarkStart w:id="270" w:name="_Toc23856"/>
      <w:bookmarkStart w:id="271" w:name="_Toc8768"/>
      <w:bookmarkStart w:id="272" w:name="_Toc15322"/>
      <w:bookmarkStart w:id="273" w:name="_Toc25560"/>
      <w:bookmarkStart w:id="274" w:name="_Toc7153"/>
      <w:bookmarkStart w:id="275" w:name="_Toc317671872"/>
      <w:bookmarkStart w:id="276" w:name="_Toc2839"/>
      <w:bookmarkStart w:id="277" w:name="_Toc6732"/>
      <w:bookmarkStart w:id="278" w:name="_Toc6078"/>
      <w:bookmarkStart w:id="279" w:name="_Toc15196"/>
      <w:bookmarkStart w:id="280" w:name="_Toc11090"/>
      <w:bookmarkStart w:id="281" w:name="_Toc11538"/>
      <w:bookmarkStart w:id="282" w:name="_Toc19099"/>
      <w:bookmarkStart w:id="283" w:name="_Toc2393"/>
      <w:bookmarkStart w:id="284" w:name="_Toc9653"/>
      <w:bookmarkStart w:id="285" w:name="_Toc7475"/>
      <w:bookmarkStart w:id="286" w:name="_Toc25720"/>
      <w:bookmarkStart w:id="287" w:name="_Toc22934"/>
      <w:bookmarkStart w:id="288" w:name="_Toc6901"/>
      <w:bookmarkStart w:id="289" w:name="_Toc16260"/>
      <w:bookmarkStart w:id="290" w:name="_Toc26376"/>
      <w:bookmarkStart w:id="291" w:name="_Toc22791"/>
      <w:bookmarkStart w:id="292" w:name="_Toc17851"/>
      <w:bookmarkStart w:id="293" w:name="_Toc7653"/>
      <w:bookmarkStart w:id="294" w:name="_Toc5985"/>
      <w:bookmarkStart w:id="295" w:name="_Toc2268"/>
      <w:bookmarkStart w:id="296" w:name="_Toc18392"/>
      <w:bookmarkStart w:id="297" w:name="_Toc24093"/>
      <w:bookmarkStart w:id="298" w:name="_Toc8527"/>
      <w:bookmarkStart w:id="299" w:name="_Toc22538"/>
      <w:bookmarkStart w:id="300" w:name="_Toc25353"/>
      <w:bookmarkStart w:id="301" w:name="_Toc10747"/>
      <w:bookmarkStart w:id="302" w:name="_Toc17852"/>
      <w:r>
        <w:rPr>
          <w:rFonts w:hint="eastAsia" w:ascii="宋体" w:hAnsi="宋体" w:eastAsia="宋体" w:cs="宋体"/>
          <w:b/>
          <w:bCs/>
          <w:i w:val="0"/>
          <w:iCs w:val="0"/>
          <w:color w:val="auto"/>
          <w:kern w:val="2"/>
          <w:sz w:val="21"/>
          <w:szCs w:val="21"/>
          <w:highlight w:val="none"/>
          <w:lang w:val="en-US" w:eastAsia="zh-CN" w:bidi="ar-SA"/>
        </w:rPr>
        <w:t>二、技术参数及要求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1、哈夫节的材质为球墨铸铁，其石墨的球化级别应不低于GB/T9441中规定的3级，并符合GB/T 1348规定。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2、哈夫节橡胶密封件材质为天然橡胶标准（NR）。其卫生指标应符合GB17219规定，密封件形式要求具有三道以上锯齿形结构，保证密封性能。橡胶密封件</w:t>
      </w:r>
      <w:r>
        <w:rPr>
          <w:rFonts w:hint="eastAsia" w:ascii="宋体" w:hAnsi="宋体" w:eastAsia="宋体" w:cs="宋体"/>
          <w:sz w:val="21"/>
          <w:szCs w:val="21"/>
          <w:highlight w:val="none"/>
          <w:lang w:eastAsia="zh-CN"/>
        </w:rPr>
        <w:t>上必须注有生产日期。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3、哈夫节内外表面喷涂材质为饮用水管道专用环氧粉末涂料（4500型），紧固件应符合GB/T8259中3.4的规定。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4、哈夫节内外层涂覆，如用于输送生活饮用水管道时，不应对生活饮用水产生有害影响，其要求应符合GB/T17219 的规定。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5、铸件内外表面应光滑平整，防腐涂层均匀牢固，无气泡或涂层堆积，无铸造缺陷，内壁凹凸不平不大于2mm，铸字为凸形字，字迹清晰。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6、壁厚允许偏差不大于0.5mm，长度允许偏差±5mm，螺栓孔径尺寸允许偏差＋（1—2）mm，螺栓孔中心距离偏差±0.5mm。</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7、配套罗螺栓具备较高的防腐性能 (热镀锌或不锈钢材质)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8、产品出厂前必须逐一进行水压试验。规格为DN15至DN200（含）口径的哈夫节在1.0Mpa压力下，不应发生渗漏现象。规格为DN200（不含）至DN1400口径的哈夫节在1.0Mpa压力下，不应发生渗漏现象。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9、哈夫节外表面必须注有厂家标识、规格型号等。</w:t>
      </w:r>
    </w:p>
    <w:p>
      <w:pPr>
        <w:pStyle w:val="34"/>
        <w:keepNext w:val="0"/>
        <w:keepLines w:val="0"/>
        <w:widowControl w:val="0"/>
        <w:suppressLineNumbers w:val="0"/>
        <w:snapToGrid w:val="0"/>
        <w:spacing w:before="0" w:beforeLines="0" w:beforeAutospacing="0" w:after="0" w:afterLines="0" w:afterAutospacing="0" w:line="360" w:lineRule="auto"/>
        <w:ind w:left="0" w:right="0" w:firstLine="480" w:firstLineChars="0"/>
        <w:jc w:val="both"/>
        <w:rPr>
          <w:rFonts w:hint="eastAsia" w:ascii="宋体" w:hAnsi="宋体" w:eastAsia="宋体" w:cs="宋体"/>
          <w:b/>
          <w:bCs w:val="0"/>
          <w:color w:val="auto"/>
          <w:kern w:val="2"/>
          <w:sz w:val="21"/>
          <w:szCs w:val="21"/>
        </w:rPr>
      </w:pPr>
      <w:r>
        <w:rPr>
          <w:rFonts w:hint="eastAsia" w:ascii="宋体" w:hAnsi="宋体" w:eastAsia="宋体" w:cs="宋体"/>
          <w:b/>
          <w:bCs w:val="0"/>
          <w:color w:val="auto"/>
          <w:kern w:val="2"/>
          <w:sz w:val="21"/>
          <w:szCs w:val="21"/>
          <w:lang w:val="en-US" w:eastAsia="zh-CN" w:bidi="ar"/>
        </w:rPr>
        <w:t>三、采购清单及控制价</w:t>
      </w:r>
    </w:p>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tbl>
      <w:tblPr>
        <w:tblStyle w:val="37"/>
        <w:tblW w:w="4701" w:type="pct"/>
        <w:tblInd w:w="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2952"/>
        <w:gridCol w:w="1927"/>
        <w:gridCol w:w="1331"/>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名称</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规格</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w:t>
            </w:r>
          </w:p>
        </w:tc>
        <w:tc>
          <w:tcPr>
            <w:tcW w:w="97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bidi="ar"/>
              </w:rPr>
              <w:t>最高单价限价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160*200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160*300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160*500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160*1000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40*140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PE承插哈夫节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50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63*200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110*200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110*300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110*500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110*1000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PE直管哈夫节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200*200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200*300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200*500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200*1000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225*200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17</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225*300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18</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225*400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19</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225*500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225*1000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315*200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315*300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315*400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315*500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315*1000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26</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400*200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27</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400*400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28</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400*500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29</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400*1000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金属直管哈夫节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100*200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金属直管哈夫节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100*300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金属直管哈夫节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100*500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金属直管哈夫节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100*1000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34</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金属直管哈夫节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150*200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35</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金属直管哈夫节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150*300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36</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金属直管哈夫节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150*500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37</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金属直管哈夫节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150*1000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38</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金属直管哈夫节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200*200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39</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金属直管哈夫节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200*300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金属直管哈夫节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200*500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金属直管哈夫节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200*1000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金属直管哈夫节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300*200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43</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金属直管哈夫节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300*300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44</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金属直管哈夫节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300*500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45</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金属直管哈夫节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300*1000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46</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金属直管哈夫节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400*200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47</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金属直管哈夫节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400*300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48</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金属直管哈夫节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400*500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49</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金属直管哈夫节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400*1000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金属直管哈夫节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500*500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金属直管哈夫节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500*1000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52</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金属直管哈夫节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600*500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53</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金属直管哈夫节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600*1000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54</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金属直管哈夫节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800*500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55</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金属直管哈夫节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800*1000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56</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金属承插哈夫节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57</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金属承插哈夫节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58</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金属承插哈夫节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59</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金属承插哈夫节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金属插哈夫节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金属承插哈夫节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金属承插哈夫节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63</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金属承插哈夫节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64</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水泥直管哈夫节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100*500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65</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水泥直管哈夫节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150*500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66</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水泥直管哈夫节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200*500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67</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水泥直管哈夫节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300*500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68</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水泥直管哈夫节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400*500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69</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水泥直管哈夫节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500*500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70</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水泥直管哈夫节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600*500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71</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水泥承插哈夫节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水泥承插哈夫节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73</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水泥承插哈夫节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74</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水泥承插哈夫节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75</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水泥承插哈夫节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76</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水泥承插哈夫节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77</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PE承插哈夫节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78</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PE承插哈夫节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keepNext w:val="0"/>
              <w:keepLines w:val="0"/>
              <w:widowControl/>
              <w:suppressLineNumbers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i w:val="0"/>
                <w:color w:val="auto"/>
                <w:kern w:val="0"/>
                <w:sz w:val="21"/>
                <w:szCs w:val="21"/>
                <w:highlight w:val="none"/>
                <w:u w:val="none"/>
                <w:lang w:val="en-US" w:eastAsia="zh-CN" w:bidi="ar"/>
              </w:rPr>
              <w:t>79</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PE承插哈夫节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63</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keepNext w:val="0"/>
              <w:keepLines w:val="0"/>
              <w:widowControl/>
              <w:suppressLineNumbers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80</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PE承插哈夫节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keepNext w:val="0"/>
              <w:keepLines w:val="0"/>
              <w:widowControl/>
              <w:suppressLineNumbers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81</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PE承插哈夫节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keepNext w:val="0"/>
              <w:keepLines w:val="0"/>
              <w:widowControl/>
              <w:suppressLineNumbers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82</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PE承插哈夫节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keepNext w:val="0"/>
              <w:keepLines w:val="0"/>
              <w:widowControl/>
              <w:suppressLineNumbers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83</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PE承插哈夫节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225</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keepNext w:val="0"/>
              <w:keepLines w:val="0"/>
              <w:widowControl/>
              <w:suppressLineNumbers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84</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PE承插哈夫节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315</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keepNext w:val="0"/>
              <w:keepLines w:val="0"/>
              <w:widowControl/>
              <w:suppressLineNumbers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85</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PE承插哈夫节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keepNext w:val="0"/>
              <w:keepLines w:val="0"/>
              <w:widowControl/>
              <w:suppressLineNumbers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86</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镀锌管弯头哈夫节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keepNext w:val="0"/>
              <w:keepLines w:val="0"/>
              <w:widowControl/>
              <w:suppressLineNumbers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87</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镀锌管弯头哈夫节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keepNext w:val="0"/>
              <w:keepLines w:val="0"/>
              <w:widowControl/>
              <w:suppressLineNumbers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88</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镀锌管弯头哈夫节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65</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keepNext w:val="0"/>
              <w:keepLines w:val="0"/>
              <w:widowControl/>
              <w:suppressLineNumbers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89</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镀锌管弯头哈夫节</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keepNext w:val="0"/>
              <w:keepLines w:val="0"/>
              <w:widowControl/>
              <w:suppressLineNumbers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90</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PE管卡</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110*50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keepNext w:val="0"/>
              <w:keepLines w:val="0"/>
              <w:widowControl/>
              <w:suppressLineNumbers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91</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PE全密封式三通</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110*300-100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keepNext w:val="0"/>
              <w:keepLines w:val="0"/>
              <w:widowControl/>
              <w:suppressLineNumbers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92</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PE全密封式三通</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160*300-100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keepNext w:val="0"/>
              <w:keepLines w:val="0"/>
              <w:widowControl/>
              <w:suppressLineNumbers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93</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PE全密封式三通</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200*300-100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keepNext w:val="0"/>
              <w:keepLines w:val="0"/>
              <w:widowControl/>
              <w:suppressLineNumbers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94</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PE全密封式三通</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200*300-150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keepNext w:val="0"/>
              <w:keepLines w:val="0"/>
              <w:widowControl/>
              <w:suppressLineNumbers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95</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PE全密封式三通</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200*500-200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keepNext w:val="0"/>
              <w:keepLines w:val="0"/>
              <w:widowControl/>
              <w:suppressLineNumbers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96</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PE全密封式三通</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225*300-100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keepNext w:val="0"/>
              <w:keepLines w:val="0"/>
              <w:widowControl/>
              <w:suppressLineNumbers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97</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PE全密封式三通</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225*300-150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keepNext w:val="0"/>
              <w:keepLines w:val="0"/>
              <w:widowControl/>
              <w:suppressLineNumbers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98</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PE全密封式三通</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315*300-100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keepNext w:val="0"/>
              <w:keepLines w:val="0"/>
              <w:widowControl/>
              <w:suppressLineNumbers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99</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PE全密封式三通</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315*300-150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keepNext w:val="0"/>
              <w:keepLines w:val="0"/>
              <w:widowControl/>
              <w:suppressLineNumbers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100</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PE全密封式三通</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315*500-200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keepNext w:val="0"/>
              <w:keepLines w:val="0"/>
              <w:widowControl/>
              <w:suppressLineNumbers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101</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PE全密封式三通</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315*500-300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keepNext w:val="0"/>
              <w:keepLines w:val="0"/>
              <w:widowControl/>
              <w:suppressLineNumbers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102</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PE全密封式三通</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400*500-100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keepNext w:val="0"/>
              <w:keepLines w:val="0"/>
              <w:widowControl/>
              <w:suppressLineNumbers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103</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PE全密封式三通</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400*500-150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keepNext w:val="0"/>
              <w:keepLines w:val="0"/>
              <w:widowControl/>
              <w:suppressLineNumbers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104</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PE全密封式三通</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400*500-200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keepNext w:val="0"/>
              <w:keepLines w:val="0"/>
              <w:widowControl/>
              <w:suppressLineNumbers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105</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PE全密封式三通</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400*500-300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keepNext w:val="0"/>
              <w:keepLines w:val="0"/>
              <w:widowControl/>
              <w:suppressLineNumbers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106</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铸管马鞍式三通</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150-100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keepNext w:val="0"/>
              <w:keepLines w:val="0"/>
              <w:widowControl/>
              <w:suppressLineNumbers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107</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铸管马鞍式三通</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200-100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keepNext w:val="0"/>
              <w:keepLines w:val="0"/>
              <w:widowControl/>
              <w:suppressLineNumbers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108</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铸管马鞍式三通</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200-150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keepNext w:val="0"/>
              <w:keepLines w:val="0"/>
              <w:widowControl/>
              <w:suppressLineNumbers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109</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铸管马鞍式三通</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300-100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keepNext w:val="0"/>
              <w:keepLines w:val="0"/>
              <w:widowControl/>
              <w:suppressLineNumbers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110</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铸管马鞍式三通</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300-150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keepNext w:val="0"/>
              <w:keepLines w:val="0"/>
              <w:widowControl/>
              <w:suppressLineNumbers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111</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铸管马鞍式三通</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300-200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keepNext w:val="0"/>
              <w:keepLines w:val="0"/>
              <w:widowControl/>
              <w:suppressLineNumbers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112</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铸管马鞍式三通</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400-100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keepNext w:val="0"/>
              <w:keepLines w:val="0"/>
              <w:widowControl/>
              <w:suppressLineNumbers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113</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铸管马鞍式三通</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400-150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keepNext w:val="0"/>
              <w:keepLines w:val="0"/>
              <w:widowControl/>
              <w:suppressLineNumbers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114</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铸管马鞍式三通</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400-200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keepNext w:val="0"/>
              <w:keepLines w:val="0"/>
              <w:widowControl/>
              <w:suppressLineNumbers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115</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铸管马鞍式三通</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400-300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keepNext w:val="0"/>
              <w:keepLines w:val="0"/>
              <w:widowControl/>
              <w:suppressLineNumbers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116</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铸管马鞍式三通</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500-100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keepNext w:val="0"/>
              <w:keepLines w:val="0"/>
              <w:widowControl/>
              <w:suppressLineNumbers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117</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铸管马鞍式三通</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500-150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keepNext w:val="0"/>
              <w:keepLines w:val="0"/>
              <w:widowControl/>
              <w:suppressLineNumbers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118</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铸管马鞍式三通</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500-200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trPr>
        <w:tc>
          <w:tcPr>
            <w:tcW w:w="552" w:type="pct"/>
            <w:noWrap w:val="0"/>
            <w:vAlign w:val="center"/>
          </w:tcPr>
          <w:p>
            <w:pPr>
              <w:keepNext w:val="0"/>
              <w:keepLines w:val="0"/>
              <w:widowControl/>
              <w:suppressLineNumbers w:val="0"/>
              <w:spacing w:line="360" w:lineRule="auto"/>
              <w:ind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119</w:t>
            </w:r>
          </w:p>
        </w:tc>
        <w:tc>
          <w:tcPr>
            <w:tcW w:w="1650"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铸管马鞍式三通</w:t>
            </w:r>
          </w:p>
        </w:tc>
        <w:tc>
          <w:tcPr>
            <w:tcW w:w="1077"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500-300</w:t>
            </w:r>
          </w:p>
        </w:tc>
        <w:tc>
          <w:tcPr>
            <w:tcW w:w="744" w:type="pct"/>
            <w:noWrap w:val="0"/>
            <w:vAlign w:val="center"/>
          </w:tcPr>
          <w:p>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付</w:t>
            </w:r>
          </w:p>
        </w:tc>
        <w:tc>
          <w:tcPr>
            <w:tcW w:w="97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trPr>
        <w:tc>
          <w:tcPr>
            <w:tcW w:w="5000" w:type="pct"/>
            <w:gridSpan w:val="5"/>
            <w:noWrap w:val="0"/>
            <w:vAlign w:val="center"/>
          </w:tcPr>
          <w:p>
            <w:pPr>
              <w:widowControl/>
              <w:spacing w:line="360" w:lineRule="auto"/>
              <w:ind w:firstLine="0" w:firstLineChars="0"/>
              <w:jc w:val="left"/>
              <w:textAlignment w:val="center"/>
              <w:rPr>
                <w:rFonts w:hint="eastAsia" w:asciiTheme="minorEastAsia" w:hAnsiTheme="minorEastAsia" w:eastAsiaTheme="minorEastAsia" w:cstheme="minorEastAsia"/>
                <w:color w:val="auto"/>
                <w:kern w:val="0"/>
                <w:sz w:val="21"/>
                <w:szCs w:val="21"/>
                <w:highlight w:val="none"/>
                <w:lang w:bidi="ar"/>
              </w:rPr>
            </w:pPr>
            <w:r>
              <w:rPr>
                <w:rFonts w:hint="eastAsia" w:asciiTheme="minorEastAsia" w:hAnsiTheme="minorEastAsia" w:eastAsiaTheme="minorEastAsia" w:cstheme="minorEastAsia"/>
                <w:bCs/>
                <w:color w:val="auto"/>
                <w:sz w:val="21"/>
                <w:szCs w:val="21"/>
                <w:highlight w:val="none"/>
              </w:rPr>
              <w:t>若采购货物本次清单中未包括的，采购价格按本次供货</w:t>
            </w:r>
            <w:r>
              <w:rPr>
                <w:rFonts w:hint="eastAsia" w:asciiTheme="minorEastAsia" w:hAnsiTheme="minorEastAsia" w:eastAsiaTheme="minorEastAsia" w:cstheme="minorEastAsia"/>
                <w:bCs/>
                <w:color w:val="auto"/>
                <w:sz w:val="21"/>
                <w:szCs w:val="21"/>
                <w:highlight w:val="none"/>
                <w:lang w:eastAsia="zh-CN"/>
              </w:rPr>
              <w:t>费率比例</w:t>
            </w:r>
            <w:r>
              <w:rPr>
                <w:rFonts w:hint="eastAsia" w:asciiTheme="minorEastAsia" w:hAnsiTheme="minorEastAsia" w:eastAsiaTheme="minorEastAsia" w:cstheme="minorEastAsia"/>
                <w:bCs/>
                <w:color w:val="auto"/>
                <w:sz w:val="21"/>
                <w:szCs w:val="21"/>
                <w:highlight w:val="none"/>
              </w:rPr>
              <w:t>结算。</w:t>
            </w:r>
          </w:p>
        </w:tc>
      </w:tr>
    </w:tbl>
    <w:p>
      <w:pPr>
        <w:keepNext w:val="0"/>
        <w:keepLines w:val="0"/>
        <w:pageBreakBefore w:val="0"/>
        <w:widowControl/>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kern w:val="0"/>
          <w:sz w:val="21"/>
          <w:szCs w:val="21"/>
          <w:highlight w:val="none"/>
          <w:lang w:eastAsia="zh-CN" w:bidi="ar"/>
        </w:rPr>
      </w:pPr>
      <w:r>
        <w:rPr>
          <w:rFonts w:hint="eastAsia" w:ascii="宋体" w:hAnsi="宋体" w:eastAsia="宋体" w:cs="宋体"/>
          <w:b/>
          <w:kern w:val="0"/>
          <w:sz w:val="21"/>
          <w:szCs w:val="21"/>
          <w:highlight w:val="none"/>
          <w:lang w:eastAsia="zh-CN" w:bidi="ar"/>
        </w:rPr>
        <w:t>四、商务要求</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项目质保期要求：</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本项目质保期为3年；此为最低要求，</w:t>
      </w:r>
      <w:r>
        <w:rPr>
          <w:rFonts w:hint="eastAsia" w:ascii="宋体" w:hAnsi="宋体" w:eastAsia="宋体" w:cs="宋体"/>
          <w:color w:val="000000"/>
          <w:sz w:val="21"/>
          <w:szCs w:val="21"/>
          <w:highlight w:val="none"/>
          <w:lang w:eastAsia="zh-CN"/>
        </w:rPr>
        <w:t>供应商</w:t>
      </w:r>
      <w:r>
        <w:rPr>
          <w:rFonts w:hint="eastAsia" w:ascii="宋体" w:hAnsi="宋体" w:eastAsia="宋体" w:cs="宋体"/>
          <w:color w:val="000000"/>
          <w:sz w:val="21"/>
          <w:szCs w:val="21"/>
          <w:highlight w:val="none"/>
        </w:rPr>
        <w:t>可作更优承诺。</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付款方式：</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本项目最终结算以实际供货数量分批结算，并以中标单价按实际用量结算。每批的供货时间和数量由采购人确定，每批货物经</w:t>
      </w:r>
      <w:r>
        <w:rPr>
          <w:rFonts w:hint="eastAsia" w:ascii="宋体" w:hAnsi="宋体" w:eastAsia="宋体" w:cs="宋体"/>
          <w:color w:val="000000"/>
          <w:sz w:val="21"/>
          <w:szCs w:val="21"/>
          <w:highlight w:val="none"/>
          <w:lang w:val="en-US" w:eastAsia="zh-CN"/>
        </w:rPr>
        <w:t>采购人验收</w:t>
      </w:r>
      <w:r>
        <w:rPr>
          <w:rFonts w:hint="eastAsia" w:ascii="宋体" w:hAnsi="宋体" w:eastAsia="宋体" w:cs="宋体"/>
          <w:color w:val="000000"/>
          <w:sz w:val="21"/>
          <w:szCs w:val="21"/>
          <w:highlight w:val="none"/>
        </w:rPr>
        <w:t>合格后</w:t>
      </w:r>
      <w:r>
        <w:rPr>
          <w:rFonts w:hint="eastAsia" w:ascii="宋体" w:hAnsi="宋体" w:eastAsia="宋体" w:cs="宋体"/>
          <w:color w:val="000000"/>
          <w:sz w:val="21"/>
          <w:szCs w:val="21"/>
          <w:highlight w:val="none"/>
          <w:lang w:val="en-US" w:eastAsia="zh-CN"/>
        </w:rPr>
        <w:t>30</w:t>
      </w:r>
      <w:r>
        <w:rPr>
          <w:rFonts w:hint="eastAsia" w:ascii="宋体" w:hAnsi="宋体" w:eastAsia="宋体" w:cs="宋体"/>
          <w:color w:val="000000"/>
          <w:sz w:val="21"/>
          <w:szCs w:val="21"/>
          <w:highlight w:val="none"/>
        </w:rPr>
        <w:t>个工作日内付清该批货款</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同时按采购人要求开具增值税专用发票。</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交货时间及地点：</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合同签订后，供货期间，供应商在收到采购人每批供货通知后7天内完成供货，免费送至采购人指定地点。</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随机抽取</w:t>
      </w:r>
      <w:r>
        <w:rPr>
          <w:rFonts w:hint="eastAsia" w:ascii="宋体" w:hAnsi="宋体" w:eastAsia="宋体" w:cs="宋体"/>
          <w:bCs/>
          <w:color w:val="auto"/>
          <w:kern w:val="2"/>
          <w:sz w:val="21"/>
          <w:szCs w:val="21"/>
          <w:lang w:val="en-US" w:eastAsia="zh-CN" w:bidi="ar"/>
        </w:rPr>
        <w:t>哈夫节</w:t>
      </w:r>
      <w:r>
        <w:rPr>
          <w:rFonts w:hint="eastAsia" w:ascii="宋体" w:hAnsi="宋体" w:eastAsia="宋体" w:cs="宋体"/>
          <w:color w:val="000000"/>
          <w:sz w:val="21"/>
          <w:szCs w:val="21"/>
          <w:highlight w:val="none"/>
          <w:lang w:val="en-US" w:eastAsia="zh-CN"/>
        </w:rPr>
        <w:t>验收</w:t>
      </w:r>
      <w:r>
        <w:rPr>
          <w:rFonts w:hint="eastAsia" w:ascii="宋体" w:hAnsi="宋体" w:eastAsia="宋体" w:cs="宋体"/>
          <w:color w:val="000000"/>
          <w:sz w:val="21"/>
          <w:szCs w:val="21"/>
          <w:highlight w:val="none"/>
        </w:rPr>
        <w:t>，若</w:t>
      </w:r>
      <w:r>
        <w:rPr>
          <w:rFonts w:hint="eastAsia" w:ascii="宋体" w:hAnsi="宋体" w:eastAsia="宋体" w:cs="宋体"/>
          <w:color w:val="000000"/>
          <w:sz w:val="21"/>
          <w:szCs w:val="21"/>
          <w:highlight w:val="none"/>
          <w:lang w:val="en-US" w:eastAsia="zh-CN"/>
        </w:rPr>
        <w:t>验收</w:t>
      </w:r>
      <w:r>
        <w:rPr>
          <w:rFonts w:hint="eastAsia" w:ascii="宋体" w:hAnsi="宋体" w:eastAsia="宋体" w:cs="宋体"/>
          <w:color w:val="000000"/>
          <w:sz w:val="21"/>
          <w:szCs w:val="21"/>
          <w:highlight w:val="none"/>
        </w:rPr>
        <w:t>不合格，本批次货物退回；供货方如出现产品质量造成产品退货达两批次，</w:t>
      </w:r>
      <w:r>
        <w:rPr>
          <w:rFonts w:hint="eastAsia" w:ascii="宋体" w:hAnsi="宋体" w:eastAsia="宋体" w:cs="宋体"/>
          <w:color w:val="000000"/>
          <w:sz w:val="21"/>
          <w:szCs w:val="21"/>
          <w:highlight w:val="none"/>
          <w:lang w:eastAsia="zh-CN"/>
        </w:rPr>
        <w:t>采购人</w:t>
      </w:r>
      <w:r>
        <w:rPr>
          <w:rFonts w:hint="eastAsia" w:ascii="宋体" w:hAnsi="宋体" w:eastAsia="宋体" w:cs="宋体"/>
          <w:color w:val="000000"/>
          <w:sz w:val="21"/>
          <w:szCs w:val="21"/>
          <w:highlight w:val="none"/>
        </w:rPr>
        <w:t>将</w:t>
      </w:r>
      <w:r>
        <w:rPr>
          <w:rFonts w:hint="eastAsia" w:ascii="宋体" w:hAnsi="宋体" w:eastAsia="宋体" w:cs="宋体"/>
          <w:color w:val="000000"/>
          <w:sz w:val="21"/>
          <w:szCs w:val="21"/>
          <w:highlight w:val="none"/>
          <w:lang w:val="en-US" w:eastAsia="zh-Hans"/>
        </w:rPr>
        <w:t>解除</w:t>
      </w:r>
      <w:r>
        <w:rPr>
          <w:rFonts w:hint="eastAsia" w:ascii="宋体" w:hAnsi="宋体" w:eastAsia="宋体" w:cs="宋体"/>
          <w:color w:val="000000"/>
          <w:sz w:val="21"/>
          <w:szCs w:val="21"/>
          <w:highlight w:val="none"/>
        </w:rPr>
        <w:t>合同，另行确定供货方。</w:t>
      </w:r>
      <w:r>
        <w:rPr>
          <w:rFonts w:hint="eastAsia" w:ascii="宋体" w:hAnsi="宋体" w:eastAsia="宋体" w:cs="宋体"/>
          <w:color w:val="000000"/>
          <w:sz w:val="21"/>
          <w:szCs w:val="21"/>
          <w:highlight w:val="none"/>
          <w:lang w:val="en-US" w:eastAsia="zh-CN"/>
        </w:rPr>
        <w:t>若</w:t>
      </w:r>
      <w:r>
        <w:rPr>
          <w:rFonts w:hint="eastAsia" w:ascii="宋体" w:hAnsi="宋体" w:eastAsia="宋体" w:cs="宋体"/>
          <w:color w:val="000000"/>
          <w:sz w:val="21"/>
          <w:szCs w:val="21"/>
          <w:highlight w:val="none"/>
        </w:rPr>
        <w:t>因产品质量原因造成的一切损失由中标人</w:t>
      </w:r>
      <w:r>
        <w:rPr>
          <w:rFonts w:hint="eastAsia" w:ascii="宋体" w:hAnsi="宋体" w:eastAsia="宋体" w:cs="宋体"/>
          <w:color w:val="000000"/>
          <w:sz w:val="21"/>
          <w:szCs w:val="21"/>
          <w:highlight w:val="none"/>
          <w:lang w:eastAsia="zh-CN"/>
        </w:rPr>
        <w:t>自行</w:t>
      </w:r>
      <w:r>
        <w:rPr>
          <w:rFonts w:hint="eastAsia" w:ascii="宋体" w:hAnsi="宋体" w:eastAsia="宋体" w:cs="宋体"/>
          <w:color w:val="000000"/>
          <w:sz w:val="21"/>
          <w:szCs w:val="21"/>
          <w:highlight w:val="none"/>
        </w:rPr>
        <w:t>承担。</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5、</w:t>
      </w:r>
      <w:r>
        <w:rPr>
          <w:rFonts w:hint="eastAsia" w:ascii="宋体" w:hAnsi="宋体" w:eastAsia="宋体" w:cs="宋体"/>
          <w:color w:val="000000"/>
          <w:sz w:val="21"/>
          <w:szCs w:val="21"/>
          <w:highlight w:val="none"/>
        </w:rPr>
        <w:t>中标后厂家在</w:t>
      </w:r>
      <w:r>
        <w:rPr>
          <w:rFonts w:hint="eastAsia" w:ascii="宋体" w:hAnsi="宋体" w:eastAsia="宋体" w:cs="宋体"/>
          <w:color w:val="000000"/>
          <w:sz w:val="21"/>
          <w:szCs w:val="21"/>
          <w:highlight w:val="none"/>
          <w:lang w:val="en-US" w:eastAsia="zh-CN"/>
        </w:rPr>
        <w:t>衢州</w:t>
      </w:r>
      <w:r>
        <w:rPr>
          <w:rFonts w:hint="eastAsia" w:ascii="宋体" w:hAnsi="宋体" w:eastAsia="宋体" w:cs="宋体"/>
          <w:color w:val="000000"/>
          <w:sz w:val="21"/>
          <w:szCs w:val="21"/>
          <w:highlight w:val="none"/>
        </w:rPr>
        <w:t>区</w:t>
      </w:r>
      <w:r>
        <w:rPr>
          <w:rFonts w:hint="eastAsia" w:ascii="宋体" w:hAnsi="宋体" w:eastAsia="宋体" w:cs="宋体"/>
          <w:color w:val="000000"/>
          <w:sz w:val="21"/>
          <w:szCs w:val="21"/>
          <w:highlight w:val="none"/>
          <w:lang w:eastAsia="zh-CN"/>
        </w:rPr>
        <w:t>内</w:t>
      </w:r>
      <w:r>
        <w:rPr>
          <w:rFonts w:hint="eastAsia" w:ascii="宋体" w:hAnsi="宋体" w:eastAsia="宋体" w:cs="宋体"/>
          <w:color w:val="000000"/>
          <w:sz w:val="21"/>
          <w:szCs w:val="21"/>
          <w:highlight w:val="none"/>
        </w:rPr>
        <w:t>要有专业维修服务网点或合作定点维修服务（有</w:t>
      </w:r>
      <w:r>
        <w:rPr>
          <w:rFonts w:hint="eastAsia" w:ascii="宋体" w:hAnsi="宋体" w:eastAsia="宋体" w:cs="宋体"/>
          <w:color w:val="000000"/>
          <w:sz w:val="21"/>
          <w:szCs w:val="21"/>
          <w:highlight w:val="none"/>
          <w:lang w:eastAsia="zh-CN"/>
        </w:rPr>
        <w:t>服务</w:t>
      </w:r>
      <w:r>
        <w:rPr>
          <w:rFonts w:hint="eastAsia" w:ascii="宋体" w:hAnsi="宋体" w:eastAsia="宋体" w:cs="宋体"/>
          <w:color w:val="000000"/>
          <w:sz w:val="21"/>
          <w:szCs w:val="21"/>
          <w:highlight w:val="none"/>
        </w:rPr>
        <w:t>协议</w:t>
      </w:r>
      <w:r>
        <w:rPr>
          <w:rFonts w:hint="eastAsia" w:ascii="宋体" w:hAnsi="宋体" w:eastAsia="宋体" w:cs="宋体"/>
          <w:sz w:val="21"/>
          <w:szCs w:val="21"/>
          <w:highlight w:val="none"/>
        </w:rPr>
        <w:t>原件扫描件加盖公章</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），有备品仓库，定时或不定时给设备维护保养。</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中标后货物每批次需有详细的供货清单，且需按采购人要求格式提供。</w:t>
      </w:r>
    </w:p>
    <w:p>
      <w:pPr>
        <w:keepNext w:val="0"/>
        <w:keepLines w:val="0"/>
        <w:pageBreakBefore w:val="0"/>
        <w:widowControl/>
        <w:kinsoku/>
        <w:wordWrap/>
        <w:overflowPunct/>
        <w:topLinePunct w:val="0"/>
        <w:autoSpaceDE/>
        <w:autoSpaceDN/>
        <w:bidi w:val="0"/>
        <w:adjustRightInd w:val="0"/>
        <w:snapToGrid w:val="0"/>
        <w:spacing w:line="360" w:lineRule="auto"/>
        <w:ind w:firstLine="422" w:firstLineChars="200"/>
        <w:jc w:val="left"/>
        <w:textAlignment w:val="auto"/>
        <w:rPr>
          <w:rFonts w:hint="eastAsia" w:ascii="宋体" w:hAnsi="宋体" w:eastAsia="宋体" w:cs="宋体"/>
          <w:b/>
          <w:kern w:val="0"/>
          <w:sz w:val="21"/>
          <w:szCs w:val="21"/>
          <w:highlight w:val="none"/>
          <w:lang w:val="en-US" w:eastAsia="zh-CN" w:bidi="ar"/>
        </w:rPr>
      </w:pPr>
      <w:r>
        <w:rPr>
          <w:rFonts w:hint="eastAsia" w:ascii="宋体" w:hAnsi="宋体" w:eastAsia="宋体" w:cs="宋体"/>
          <w:b/>
          <w:kern w:val="0"/>
          <w:sz w:val="21"/>
          <w:szCs w:val="21"/>
          <w:highlight w:val="none"/>
          <w:lang w:eastAsia="zh-CN" w:bidi="ar"/>
        </w:rPr>
        <w:t>五</w:t>
      </w:r>
      <w:r>
        <w:rPr>
          <w:rFonts w:hint="eastAsia" w:ascii="宋体" w:hAnsi="宋体" w:eastAsia="宋体" w:cs="宋体"/>
          <w:b/>
          <w:kern w:val="0"/>
          <w:sz w:val="21"/>
          <w:szCs w:val="21"/>
          <w:highlight w:val="none"/>
          <w:lang w:bidi="ar"/>
        </w:rPr>
        <w:t>、其他</w:t>
      </w:r>
      <w:r>
        <w:rPr>
          <w:rFonts w:hint="eastAsia" w:ascii="宋体" w:hAnsi="宋体" w:eastAsia="宋体" w:cs="宋体"/>
          <w:b/>
          <w:kern w:val="0"/>
          <w:sz w:val="21"/>
          <w:szCs w:val="21"/>
          <w:highlight w:val="none"/>
          <w:lang w:val="en-US" w:eastAsia="zh-CN" w:bidi="ar"/>
        </w:rPr>
        <w:tab/>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本次报价为供应商所能承受的最低、最终报价，包括</w:t>
      </w:r>
      <w:r>
        <w:rPr>
          <w:rFonts w:hint="eastAsia" w:ascii="宋体" w:hAnsi="宋体" w:eastAsia="宋体" w:cs="宋体"/>
          <w:sz w:val="21"/>
          <w:szCs w:val="21"/>
          <w:highlight w:val="none"/>
          <w:lang w:eastAsia="zh-CN"/>
        </w:rPr>
        <w:t>人工、材料、管理、</w:t>
      </w:r>
      <w:r>
        <w:rPr>
          <w:rFonts w:hint="eastAsia" w:ascii="宋体" w:hAnsi="宋体" w:eastAsia="宋体" w:cs="宋体"/>
          <w:sz w:val="21"/>
          <w:szCs w:val="21"/>
          <w:highlight w:val="none"/>
          <w:lang w:val="en-US" w:eastAsia="zh-CN"/>
        </w:rPr>
        <w:t>运输、装卸、搬运、</w:t>
      </w:r>
      <w:r>
        <w:rPr>
          <w:rFonts w:hint="eastAsia" w:ascii="宋体" w:hAnsi="宋体" w:eastAsia="宋体" w:cs="宋体"/>
          <w:sz w:val="21"/>
          <w:szCs w:val="21"/>
          <w:highlight w:val="none"/>
          <w:lang w:eastAsia="zh-CN"/>
        </w:rPr>
        <w:t>税费、</w:t>
      </w:r>
      <w:r>
        <w:rPr>
          <w:rFonts w:hint="eastAsia" w:ascii="宋体" w:hAnsi="宋体" w:eastAsia="宋体" w:cs="宋体"/>
          <w:sz w:val="21"/>
          <w:szCs w:val="21"/>
          <w:highlight w:val="none"/>
          <w:lang w:val="en-US" w:eastAsia="zh-CN"/>
        </w:rPr>
        <w:t>利润、</w:t>
      </w:r>
      <w:r>
        <w:rPr>
          <w:rFonts w:hint="eastAsia" w:ascii="宋体" w:hAnsi="宋体" w:eastAsia="宋体" w:cs="宋体"/>
          <w:sz w:val="21"/>
          <w:szCs w:val="21"/>
          <w:highlight w:val="none"/>
          <w:lang w:eastAsia="zh-CN"/>
        </w:rPr>
        <w:t>成果验收、风险费、招标文件未涉及的其他配件及采购代理费等一切与之相关的所有费用</w:t>
      </w:r>
      <w:r>
        <w:rPr>
          <w:rFonts w:hint="eastAsia" w:ascii="宋体" w:hAnsi="宋体" w:eastAsia="宋体" w:cs="宋体"/>
          <w:sz w:val="21"/>
          <w:szCs w:val="21"/>
          <w:highlight w:val="none"/>
        </w:rPr>
        <w:t>。供应商应列入而未列入其中的费用，均视为已包含在内，风险由供应商承担。</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安全责任：供应商在项目实施过程中发生的一切人身意外事故由其自行负责，与采购人无关。</w:t>
      </w:r>
    </w:p>
    <w:p>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val="en-US" w:eastAsia="zh-CN"/>
        </w:rPr>
        <w:t>3.</w:t>
      </w:r>
      <w:r>
        <w:rPr>
          <w:rFonts w:hint="eastAsia" w:ascii="宋体" w:hAnsi="宋体" w:eastAsia="宋体" w:cs="宋体"/>
          <w:b/>
          <w:bCs/>
          <w:color w:val="000000"/>
          <w:sz w:val="21"/>
          <w:szCs w:val="21"/>
          <w:highlight w:val="none"/>
        </w:rPr>
        <w:t>本项目在签订合同前，中标人需提供以下材料</w:t>
      </w:r>
      <w:r>
        <w:rPr>
          <w:rFonts w:hint="eastAsia" w:ascii="宋体" w:hAnsi="宋体" w:eastAsia="宋体" w:cs="宋体"/>
          <w:b/>
          <w:bCs/>
          <w:color w:val="000000"/>
          <w:sz w:val="21"/>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提供厂家质保证书。</w:t>
      </w:r>
    </w:p>
    <w:p>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提供生产厂家授权书（代理商提供）。</w:t>
      </w:r>
    </w:p>
    <w:p>
      <w:pPr>
        <w:keepNext w:val="0"/>
        <w:keepLines w:val="0"/>
        <w:pageBreakBefore w:val="0"/>
        <w:kinsoku/>
        <w:wordWrap/>
        <w:overflowPunct/>
        <w:topLinePunct w:val="0"/>
        <w:autoSpaceDE/>
        <w:autoSpaceDN/>
        <w:bidi w:val="0"/>
        <w:adjustRightInd w:val="0"/>
        <w:snapToGrid w:val="0"/>
        <w:spacing w:afterAutospacing="0" w:line="36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提供产品原厂商售后服务承诺函（代理商提供，须加盖原厂家公章）</w:t>
      </w:r>
    </w:p>
    <w:p>
      <w:pPr>
        <w:pStyle w:val="57"/>
        <w:keepNext w:val="0"/>
        <w:keepLines w:val="0"/>
        <w:pageBreakBefore w:val="0"/>
        <w:widowControl w:val="0"/>
        <w:kinsoku/>
        <w:wordWrap/>
        <w:overflowPunct/>
        <w:topLinePunct w:val="0"/>
        <w:autoSpaceDE/>
        <w:autoSpaceDN/>
        <w:bidi w:val="0"/>
        <w:adjustRightInd/>
        <w:spacing w:beforeLines="0" w:beforeAutospacing="0" w:afterLines="0" w:afterAutospacing="0" w:line="360" w:lineRule="auto"/>
        <w:ind w:left="0" w:firstLine="480"/>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4、样品提供</w:t>
      </w:r>
    </w:p>
    <w:p>
      <w:pPr>
        <w:pStyle w:val="57"/>
        <w:keepNext w:val="0"/>
        <w:keepLines w:val="0"/>
        <w:pageBreakBefore w:val="0"/>
        <w:widowControl w:val="0"/>
        <w:kinsoku/>
        <w:wordWrap/>
        <w:overflowPunct/>
        <w:topLinePunct w:val="0"/>
        <w:autoSpaceDE/>
        <w:autoSpaceDN/>
        <w:bidi w:val="0"/>
        <w:adjustRightInd/>
        <w:spacing w:beforeLines="0" w:beforeAutospacing="0" w:afterLines="0" w:afterAutospacing="0" w:line="360" w:lineRule="auto"/>
        <w:ind w:left="0" w:firstLine="48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1.投标人须提供规格200*200的PE直管哈夫节及规格100*200的金属直管哈夫节各1付，中标单位提供的样品将保留在采购人处作为验收依据之一。</w:t>
      </w:r>
    </w:p>
    <w:p>
      <w:pPr>
        <w:pStyle w:val="57"/>
        <w:keepNext w:val="0"/>
        <w:keepLines w:val="0"/>
        <w:pageBreakBefore w:val="0"/>
        <w:widowControl w:val="0"/>
        <w:kinsoku/>
        <w:wordWrap/>
        <w:overflowPunct/>
        <w:topLinePunct w:val="0"/>
        <w:autoSpaceDE/>
        <w:autoSpaceDN/>
        <w:bidi w:val="0"/>
        <w:adjustRightInd/>
        <w:spacing w:before="66" w:beforeLines="19" w:beforeAutospacing="0" w:afterLines="0" w:afterAutospacing="0" w:line="360" w:lineRule="auto"/>
        <w:ind w:left="0" w:firstLine="48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2.样品提交地点：</w:t>
      </w:r>
    </w:p>
    <w:p>
      <w:pPr>
        <w:pStyle w:val="43"/>
        <w:spacing w:beforeAutospacing="0" w:line="36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rPr>
        <w:t>龙游县水务集团有限公司1楼开标室</w:t>
      </w:r>
      <w:r>
        <w:rPr>
          <w:rFonts w:hint="eastAsia" w:ascii="宋体" w:hAnsi="宋体" w:cs="宋体"/>
          <w:sz w:val="21"/>
          <w:szCs w:val="21"/>
          <w:lang w:eastAsia="zh-CN"/>
        </w:rPr>
        <w:t>；</w:t>
      </w:r>
      <w:r>
        <w:rPr>
          <w:rFonts w:hint="eastAsia" w:ascii="宋体" w:hAnsi="宋体" w:eastAsia="宋体" w:cs="宋体"/>
          <w:kern w:val="2"/>
          <w:sz w:val="21"/>
          <w:szCs w:val="21"/>
          <w:highlight w:val="none"/>
          <w:lang w:val="en-US" w:eastAsia="zh-CN" w:bidi="ar-SA"/>
        </w:rPr>
        <w:t>样品须在投标截止时间前</w:t>
      </w:r>
      <w:r>
        <w:rPr>
          <w:rFonts w:hint="eastAsia" w:ascii="宋体" w:hAnsi="宋体" w:cs="宋体"/>
          <w:kern w:val="2"/>
          <w:sz w:val="21"/>
          <w:szCs w:val="21"/>
          <w:highlight w:val="none"/>
          <w:lang w:val="en-US" w:eastAsia="zh-CN" w:bidi="ar-SA"/>
        </w:rPr>
        <w:t>和投标文件一起</w:t>
      </w:r>
      <w:r>
        <w:rPr>
          <w:rFonts w:hint="eastAsia" w:ascii="宋体" w:hAnsi="宋体" w:eastAsia="宋体" w:cs="宋体"/>
          <w:kern w:val="2"/>
          <w:sz w:val="21"/>
          <w:szCs w:val="21"/>
          <w:highlight w:val="none"/>
          <w:lang w:val="en-US" w:eastAsia="zh-CN" w:bidi="ar-SA"/>
        </w:rPr>
        <w:t>提供，逾期不接收</w:t>
      </w:r>
      <w:r>
        <w:rPr>
          <w:rFonts w:hint="eastAsia" w:ascii="宋体" w:hAnsi="宋体" w:cs="宋体"/>
          <w:kern w:val="2"/>
          <w:sz w:val="21"/>
          <w:szCs w:val="21"/>
          <w:highlight w:val="none"/>
          <w:lang w:val="en-US" w:eastAsia="zh-CN" w:bidi="ar-SA"/>
        </w:rPr>
        <w:t>；</w:t>
      </w:r>
    </w:p>
    <w:p>
      <w:pPr>
        <w:pStyle w:val="2"/>
        <w:ind w:left="0" w:leftChars="0" w:firstLine="0" w:firstLineChars="0"/>
        <w:rPr>
          <w:rFonts w:hint="eastAsia" w:ascii="宋体" w:hAnsi="宋体" w:eastAsia="宋体" w:cs="宋体"/>
          <w:kern w:val="2"/>
          <w:sz w:val="21"/>
          <w:szCs w:val="21"/>
          <w:highlight w:val="none"/>
          <w:lang w:val="en-US" w:eastAsia="zh-CN" w:bidi="ar-SA"/>
        </w:rPr>
      </w:pPr>
    </w:p>
    <w:p>
      <w:pPr>
        <w:pStyle w:val="36"/>
        <w:rPr>
          <w:sz w:val="21"/>
          <w:szCs w:val="21"/>
        </w:rPr>
      </w:pPr>
    </w:p>
    <w:p/>
    <w:p>
      <w:pPr>
        <w:pStyle w:val="9"/>
      </w:pPr>
    </w:p>
    <w:p/>
    <w:p>
      <w:pPr>
        <w:pStyle w:val="9"/>
      </w:pPr>
    </w:p>
    <w:p/>
    <w:p>
      <w:pPr>
        <w:pStyle w:val="9"/>
      </w:pPr>
    </w:p>
    <w:p>
      <w:r>
        <w:br w:type="page"/>
      </w:r>
    </w:p>
    <w:bookmarkEnd w:id="204"/>
    <w:bookmarkEnd w:id="205"/>
    <w:bookmarkEnd w:id="206"/>
    <w:bookmarkEnd w:id="207"/>
    <w:bookmarkEnd w:id="208"/>
    <w:bookmarkEnd w:id="209"/>
    <w:bookmarkEnd w:id="210"/>
    <w:bookmarkEnd w:id="211"/>
    <w:bookmarkEnd w:id="212"/>
    <w:bookmarkEnd w:id="213"/>
    <w:bookmarkEnd w:id="214"/>
    <w:p>
      <w:pPr>
        <w:numPr>
          <w:ilvl w:val="0"/>
          <w:numId w:val="8"/>
        </w:numPr>
        <w:adjustRightInd w:val="0"/>
        <w:snapToGrid w:val="0"/>
        <w:spacing w:line="360" w:lineRule="auto"/>
        <w:ind w:firstLine="0" w:firstLineChars="0"/>
        <w:jc w:val="center"/>
        <w:outlineLvl w:val="0"/>
        <w:rPr>
          <w:rFonts w:ascii="宋体" w:hAnsi="宋体" w:eastAsia="宋体" w:cs="宋体"/>
          <w:b/>
          <w:bCs/>
          <w:kern w:val="44"/>
          <w:sz w:val="44"/>
          <w:szCs w:val="44"/>
        </w:rPr>
      </w:pPr>
      <w:bookmarkStart w:id="303" w:name="_Toc26644"/>
      <w:bookmarkStart w:id="304" w:name="_Toc8957"/>
      <w:bookmarkStart w:id="305" w:name="_Toc6684"/>
      <w:bookmarkStart w:id="306" w:name="_Toc26447"/>
      <w:bookmarkStart w:id="307" w:name="_Toc322352985"/>
      <w:bookmarkStart w:id="308" w:name="_Toc359856819"/>
      <w:bookmarkStart w:id="309" w:name="_Toc356371458"/>
      <w:bookmarkStart w:id="310" w:name="_Toc354491899"/>
      <w:r>
        <w:rPr>
          <w:rFonts w:hint="eastAsia" w:ascii="宋体" w:hAnsi="宋体" w:eastAsia="宋体" w:cs="宋体"/>
          <w:b/>
          <w:bCs/>
          <w:kern w:val="44"/>
          <w:sz w:val="44"/>
          <w:szCs w:val="44"/>
        </w:rPr>
        <w:t xml:space="preserve"> </w:t>
      </w:r>
      <w:bookmarkStart w:id="311" w:name="_Toc26854"/>
      <w:bookmarkStart w:id="312" w:name="_Toc27713"/>
      <w:bookmarkStart w:id="313" w:name="_Toc12273"/>
      <w:bookmarkStart w:id="314" w:name="_Toc18757"/>
      <w:r>
        <w:rPr>
          <w:rFonts w:hint="eastAsia" w:ascii="宋体" w:hAnsi="宋体" w:eastAsia="宋体" w:cs="宋体"/>
          <w:b/>
          <w:bCs/>
          <w:kern w:val="44"/>
          <w:sz w:val="44"/>
          <w:szCs w:val="44"/>
        </w:rPr>
        <w:t>合同主要条款</w:t>
      </w:r>
      <w:bookmarkEnd w:id="303"/>
      <w:bookmarkEnd w:id="311"/>
    </w:p>
    <w:p>
      <w:pPr>
        <w:pStyle w:val="4"/>
        <w:spacing w:before="0"/>
        <w:rPr>
          <w:rFonts w:ascii="宋体" w:hAnsi="宋体" w:eastAsia="宋体"/>
          <w:b w:val="0"/>
          <w:kern w:val="2"/>
          <w:sz w:val="21"/>
          <w:szCs w:val="21"/>
        </w:rPr>
      </w:pPr>
      <w:bookmarkStart w:id="315" w:name="_Toc26077"/>
      <w:bookmarkStart w:id="316" w:name="_Toc6370"/>
      <w:bookmarkStart w:id="317" w:name="_Toc5745"/>
      <w:r>
        <w:rPr>
          <w:rFonts w:hint="eastAsia" w:ascii="宋体" w:hAnsi="宋体" w:eastAsia="宋体"/>
          <w:b w:val="0"/>
          <w:kern w:val="2"/>
          <w:sz w:val="21"/>
          <w:szCs w:val="21"/>
        </w:rPr>
        <w:t>（本合同为合同样稿，最终稿由双方协商后确定）</w:t>
      </w:r>
      <w:bookmarkEnd w:id="315"/>
      <w:bookmarkEnd w:id="316"/>
      <w:bookmarkEnd w:id="317"/>
    </w:p>
    <w:bookmarkEnd w:id="312"/>
    <w:bookmarkEnd w:id="313"/>
    <w:bookmarkEnd w:id="314"/>
    <w:p>
      <w:pPr>
        <w:pStyle w:val="19"/>
        <w:snapToGrid w:val="0"/>
        <w:spacing w:line="360" w:lineRule="auto"/>
        <w:ind w:left="240" w:leftChars="100" w:right="154" w:rightChars="64" w:firstLine="239" w:firstLineChars="114"/>
        <w:rPr>
          <w:rFonts w:hAnsi="宋体"/>
          <w:sz w:val="21"/>
          <w:szCs w:val="21"/>
        </w:rPr>
      </w:pPr>
      <w:r>
        <w:rPr>
          <w:rFonts w:hint="eastAsia" w:hAnsi="宋体"/>
          <w:sz w:val="21"/>
          <w:szCs w:val="21"/>
        </w:rPr>
        <w:t>甲方（采购人）：</w:t>
      </w:r>
    </w:p>
    <w:p>
      <w:pPr>
        <w:pStyle w:val="19"/>
        <w:snapToGrid w:val="0"/>
        <w:spacing w:line="360" w:lineRule="auto"/>
        <w:ind w:left="240" w:leftChars="100" w:right="154" w:rightChars="64" w:firstLine="239" w:firstLineChars="114"/>
        <w:rPr>
          <w:rFonts w:hAnsi="宋体"/>
          <w:sz w:val="21"/>
          <w:szCs w:val="21"/>
        </w:rPr>
      </w:pPr>
      <w:r>
        <w:rPr>
          <w:rFonts w:hint="eastAsia" w:hAnsi="宋体"/>
          <w:sz w:val="21"/>
          <w:szCs w:val="21"/>
        </w:rPr>
        <w:t>乙方（成交供应商）：</w:t>
      </w:r>
    </w:p>
    <w:p>
      <w:pPr>
        <w:snapToGrid w:val="0"/>
        <w:spacing w:line="360" w:lineRule="auto"/>
        <w:ind w:left="240" w:leftChars="100" w:right="154" w:rightChars="64" w:firstLine="239" w:firstLineChars="114"/>
        <w:rPr>
          <w:rFonts w:ascii="新宋体" w:hAnsi="新宋体" w:eastAsia="新宋体" w:cs="新宋体"/>
          <w:sz w:val="21"/>
          <w:szCs w:val="21"/>
        </w:rPr>
      </w:pPr>
      <w:r>
        <w:rPr>
          <w:rFonts w:hint="eastAsia" w:ascii="宋体" w:hAnsi="宋体" w:eastAsia="宋体" w:cs="宋体"/>
          <w:sz w:val="21"/>
          <w:szCs w:val="21"/>
        </w:rPr>
        <w:t>甲方采用公开招标采购方式，确定乙方为</w:t>
      </w:r>
      <w:r>
        <w:rPr>
          <w:rFonts w:hint="eastAsia" w:ascii="宋体" w:hAnsi="宋体" w:eastAsia="宋体" w:cs="宋体"/>
          <w:sz w:val="21"/>
          <w:szCs w:val="21"/>
          <w:lang w:eastAsia="zh-CN"/>
        </w:rPr>
        <w:t>2025年农村供水哈夫节采购项目</w:t>
      </w:r>
      <w:r>
        <w:rPr>
          <w:rFonts w:hint="eastAsia" w:ascii="宋体" w:hAnsi="宋体" w:eastAsia="宋体" w:cs="宋体"/>
          <w:sz w:val="21"/>
          <w:szCs w:val="21"/>
          <w:u w:val="single"/>
        </w:rPr>
        <w:t>（项目编号：</w:t>
      </w:r>
      <w:r>
        <w:rPr>
          <w:rFonts w:hint="eastAsia" w:ascii="宋体" w:hAnsi="宋体" w:eastAsia="宋体" w:cs="宋体"/>
          <w:sz w:val="21"/>
          <w:szCs w:val="21"/>
          <w:u w:val="single"/>
          <w:lang w:eastAsia="zh-CN"/>
        </w:rPr>
        <w:t>LYCG2025TY-018</w:t>
      </w:r>
      <w:r>
        <w:rPr>
          <w:rFonts w:hint="eastAsia" w:ascii="宋体" w:hAnsi="宋体" w:eastAsia="宋体" w:cs="宋体"/>
          <w:sz w:val="21"/>
          <w:szCs w:val="21"/>
          <w:u w:val="single"/>
        </w:rPr>
        <w:t>）</w:t>
      </w:r>
      <w:r>
        <w:rPr>
          <w:rFonts w:hint="eastAsia" w:ascii="宋体" w:hAnsi="宋体" w:eastAsia="宋体" w:cs="宋体"/>
          <w:sz w:val="21"/>
          <w:szCs w:val="21"/>
        </w:rPr>
        <w:t>的供应商，根据本项目成交通知书、乙方响应文件及招标文件明确的事项，经双方协商一致，达成以下条款，以资共同遵守。</w:t>
      </w:r>
    </w:p>
    <w:p>
      <w:pPr>
        <w:spacing w:line="360" w:lineRule="auto"/>
        <w:ind w:left="240" w:leftChars="100" w:right="154" w:rightChars="64" w:firstLine="240" w:firstLineChars="114"/>
        <w:outlineLvl w:val="1"/>
        <w:rPr>
          <w:rFonts w:hint="eastAsia" w:asciiTheme="minorEastAsia" w:hAnsiTheme="minorEastAsia" w:eastAsiaTheme="minorEastAsia" w:cstheme="minorEastAsia"/>
          <w:b/>
          <w:sz w:val="21"/>
          <w:szCs w:val="21"/>
        </w:rPr>
      </w:pPr>
      <w:bookmarkStart w:id="318" w:name="_Toc25539"/>
      <w:r>
        <w:rPr>
          <w:rFonts w:hint="eastAsia" w:asciiTheme="minorEastAsia" w:hAnsiTheme="minorEastAsia" w:eastAsiaTheme="minorEastAsia" w:cstheme="minorEastAsia"/>
          <w:b/>
          <w:sz w:val="21"/>
          <w:szCs w:val="21"/>
        </w:rPr>
        <w:t>一、说明</w:t>
      </w:r>
      <w:bookmarkEnd w:id="318"/>
    </w:p>
    <w:p>
      <w:pPr>
        <w:pStyle w:val="34"/>
        <w:spacing w:before="0" w:beforeAutospacing="0" w:after="0" w:afterAutospacing="0" w:line="360" w:lineRule="auto"/>
        <w:ind w:left="240" w:leftChars="100" w:right="154" w:rightChars="64" w:firstLine="239" w:firstLineChars="114"/>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rPr>
        <w:t>1．合同基本条款是指</w:t>
      </w:r>
      <w:r>
        <w:rPr>
          <w:rFonts w:hint="eastAsia" w:asciiTheme="minorEastAsia" w:hAnsiTheme="minorEastAsia" w:eastAsiaTheme="minorEastAsia" w:cstheme="minorEastAsia"/>
          <w:kern w:val="2"/>
          <w:sz w:val="21"/>
          <w:szCs w:val="21"/>
          <w:lang w:eastAsia="zh-CN"/>
        </w:rPr>
        <w:t>购货方</w:t>
      </w:r>
      <w:r>
        <w:rPr>
          <w:rFonts w:hint="eastAsia" w:asciiTheme="minorEastAsia" w:hAnsiTheme="minorEastAsia" w:eastAsiaTheme="minorEastAsia" w:cstheme="minorEastAsia"/>
          <w:kern w:val="2"/>
          <w:sz w:val="21"/>
          <w:szCs w:val="21"/>
        </w:rPr>
        <w:t>（以下简称甲方）和</w:t>
      </w:r>
      <w:r>
        <w:rPr>
          <w:rFonts w:hint="eastAsia" w:asciiTheme="minorEastAsia" w:hAnsiTheme="minorEastAsia" w:eastAsiaTheme="minorEastAsia" w:cstheme="minorEastAsia"/>
          <w:sz w:val="21"/>
          <w:szCs w:val="21"/>
          <w:lang w:eastAsia="zh-CN"/>
        </w:rPr>
        <w:t>供货方</w:t>
      </w:r>
      <w:r>
        <w:rPr>
          <w:rFonts w:hint="eastAsia" w:asciiTheme="minorEastAsia" w:hAnsiTheme="minorEastAsia" w:eastAsiaTheme="minorEastAsia" w:cstheme="minorEastAsia"/>
          <w:kern w:val="2"/>
          <w:sz w:val="21"/>
          <w:szCs w:val="21"/>
        </w:rPr>
        <w:t>（以下简称乙方）应共同遵守的基本原则，并作为双方签约的依据。对于合同的其他条款，双方应本着互谅互让的精神协商解决。</w:t>
      </w:r>
    </w:p>
    <w:p>
      <w:pPr>
        <w:pStyle w:val="34"/>
        <w:spacing w:before="0" w:beforeAutospacing="0" w:after="0" w:afterAutospacing="0" w:line="360" w:lineRule="auto"/>
        <w:ind w:left="240" w:leftChars="100" w:right="154" w:rightChars="64" w:firstLine="239" w:firstLineChars="114"/>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2．制定“合同主要条款”的依据是《中华人民共和国民法典》。</w:t>
      </w:r>
    </w:p>
    <w:p>
      <w:pPr>
        <w:pStyle w:val="98"/>
        <w:keepLines w:val="0"/>
        <w:pageBreakBefore w:val="0"/>
        <w:kinsoku/>
        <w:wordWrap/>
        <w:overflowPunct/>
        <w:topLinePunct w:val="0"/>
        <w:autoSpaceDE/>
        <w:autoSpaceDN/>
        <w:bidi w:val="0"/>
        <w:spacing w:before="0" w:beforeAutospacing="0" w:after="0" w:afterAutospacing="0" w:line="360" w:lineRule="auto"/>
        <w:ind w:left="240" w:leftChars="100" w:right="154" w:rightChars="64" w:firstLine="240" w:firstLineChars="114"/>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kern w:val="2"/>
          <w:sz w:val="21"/>
          <w:szCs w:val="21"/>
          <w:highlight w:val="none"/>
          <w:lang w:val="en-US" w:eastAsia="zh-CN" w:bidi="ar-SA"/>
        </w:rPr>
        <w:t xml:space="preserve">二、合同价款 </w:t>
      </w:r>
    </w:p>
    <w:p>
      <w:pPr>
        <w:pStyle w:val="98"/>
        <w:keepLines w:val="0"/>
        <w:pageBreakBefore w:val="0"/>
        <w:kinsoku/>
        <w:wordWrap/>
        <w:overflowPunct/>
        <w:topLinePunct w:val="0"/>
        <w:autoSpaceDE/>
        <w:autoSpaceDN/>
        <w:bidi w:val="0"/>
        <w:spacing w:before="0" w:beforeAutospacing="0" w:after="0" w:afterAutospacing="0" w:line="360" w:lineRule="auto"/>
        <w:ind w:left="240" w:leftChars="100" w:right="154" w:rightChars="64" w:firstLine="239" w:firstLineChars="114"/>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 1.本合同总价款为人民币（大写）</w:t>
      </w:r>
      <w:r>
        <w:rPr>
          <w:rFonts w:hint="eastAsia" w:asciiTheme="minorEastAsia" w:hAnsiTheme="minorEastAsia" w:eastAsiaTheme="minorEastAsia" w:cstheme="minorEastAsia"/>
          <w:sz w:val="21"/>
          <w:szCs w:val="21"/>
          <w:highlight w:val="none"/>
          <w:u w:val="single"/>
          <w:lang w:val="en-US" w:eastAsia="zh-CN"/>
        </w:rPr>
        <w:t>贰拾玖万元整（</w:t>
      </w:r>
      <w:r>
        <w:rPr>
          <w:rFonts w:hint="eastAsia" w:ascii="宋体" w:hAnsi="宋体" w:eastAsia="宋体" w:cs="宋体"/>
          <w:sz w:val="21"/>
          <w:szCs w:val="21"/>
          <w:highlight w:val="none"/>
          <w:u w:val="single"/>
          <w:lang w:val="en-US" w:eastAsia="zh-CN"/>
        </w:rPr>
        <w:t>¥</w:t>
      </w:r>
      <w:r>
        <w:rPr>
          <w:rFonts w:hint="eastAsia" w:asciiTheme="minorEastAsia" w:hAnsiTheme="minorEastAsia" w:eastAsiaTheme="minorEastAsia" w:cstheme="minorEastAsia"/>
          <w:sz w:val="21"/>
          <w:szCs w:val="21"/>
          <w:highlight w:val="none"/>
          <w:u w:val="single"/>
          <w:lang w:val="en-US" w:eastAsia="zh-CN"/>
        </w:rPr>
        <w:t>：290000元）</w:t>
      </w:r>
      <w:r>
        <w:rPr>
          <w:rFonts w:hint="eastAsia" w:asciiTheme="minorEastAsia" w:hAnsiTheme="minorEastAsia" w:eastAsiaTheme="minorEastAsia" w:cstheme="minorEastAsia"/>
          <w:sz w:val="21"/>
          <w:szCs w:val="21"/>
          <w:highlight w:val="none"/>
          <w:lang w:val="en-US" w:eastAsia="zh-CN"/>
        </w:rPr>
        <w:t>（含税价，</w:t>
      </w:r>
      <w:r>
        <w:rPr>
          <w:rFonts w:hint="eastAsia" w:ascii="宋体" w:hAnsi="宋体" w:eastAsia="宋体" w:cs="宋体"/>
          <w:color w:val="000000"/>
          <w:sz w:val="21"/>
          <w:szCs w:val="21"/>
          <w:highlight w:val="none"/>
          <w:lang w:val="en-US" w:eastAsia="zh-CN"/>
        </w:rPr>
        <w:t>按采购人要求开具</w:t>
      </w:r>
      <w:r>
        <w:rPr>
          <w:rFonts w:hint="eastAsia" w:eastAsia="宋体" w:cs="宋体"/>
          <w:color w:val="000000"/>
          <w:sz w:val="21"/>
          <w:szCs w:val="21"/>
          <w:highlight w:val="none"/>
          <w:lang w:val="en-US" w:eastAsia="zh-CN"/>
        </w:rPr>
        <w:t>13%</w:t>
      </w:r>
      <w:r>
        <w:rPr>
          <w:rFonts w:hint="eastAsia" w:ascii="宋体" w:hAnsi="宋体" w:eastAsia="宋体" w:cs="宋体"/>
          <w:color w:val="000000"/>
          <w:sz w:val="21"/>
          <w:szCs w:val="21"/>
          <w:highlight w:val="none"/>
          <w:lang w:val="en-US" w:eastAsia="zh-CN"/>
        </w:rPr>
        <w:t>增值税专用发票</w:t>
      </w:r>
      <w:r>
        <w:rPr>
          <w:rFonts w:hint="eastAsia" w:asciiTheme="minorEastAsia" w:hAnsiTheme="minorEastAsia" w:eastAsiaTheme="minorEastAsia" w:cstheme="minorEastAsia"/>
          <w:sz w:val="21"/>
          <w:szCs w:val="21"/>
          <w:highlight w:val="none"/>
          <w:lang w:val="en-US" w:eastAsia="zh-CN"/>
        </w:rPr>
        <w:t xml:space="preserve">）；       </w:t>
      </w:r>
    </w:p>
    <w:p>
      <w:pPr>
        <w:pStyle w:val="98"/>
        <w:keepLines w:val="0"/>
        <w:pageBreakBefore w:val="0"/>
        <w:kinsoku/>
        <w:wordWrap/>
        <w:overflowPunct/>
        <w:topLinePunct w:val="0"/>
        <w:autoSpaceDE/>
        <w:autoSpaceDN/>
        <w:bidi w:val="0"/>
        <w:spacing w:before="0" w:beforeAutospacing="0" w:after="0" w:afterAutospacing="0" w:line="360" w:lineRule="auto"/>
        <w:ind w:left="240" w:leftChars="100" w:right="154" w:rightChars="64" w:firstLine="239" w:firstLineChars="114"/>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2、中标单价=预算单价×中标费率 ；</w:t>
      </w:r>
    </w:p>
    <w:p>
      <w:pPr>
        <w:pStyle w:val="98"/>
        <w:keepLines w:val="0"/>
        <w:pageBreakBefore w:val="0"/>
        <w:kinsoku/>
        <w:wordWrap/>
        <w:overflowPunct/>
        <w:topLinePunct w:val="0"/>
        <w:autoSpaceDE/>
        <w:autoSpaceDN/>
        <w:bidi w:val="0"/>
        <w:spacing w:before="0" w:beforeAutospacing="0" w:after="0" w:afterAutospacing="0" w:line="360" w:lineRule="auto"/>
        <w:ind w:left="240" w:leftChars="100" w:right="154" w:rightChars="64" w:firstLine="239" w:firstLineChars="114"/>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本合同总价款仅为签约合同价，除合同特殊说明外，中标单价应包括项目履行期间完成全部工作的所有费用，包含但不仅限于采购清单内所有所需货物、材料、管理、运输、搬运、税费、利润、成果验收、风险费、售后服务及的其他配件等费用，以及中标后中标单位因本项目合同履行产生的税金、人工、管理、合理利润、采购代理费等一切成本及费用，乙方应列入而未列入其中的费用，均视为已包含在内，风险由乙方承担；</w:t>
      </w:r>
    </w:p>
    <w:p>
      <w:pPr>
        <w:pStyle w:val="98"/>
        <w:keepLines w:val="0"/>
        <w:pageBreakBefore w:val="0"/>
        <w:kinsoku/>
        <w:wordWrap/>
        <w:overflowPunct/>
        <w:topLinePunct w:val="0"/>
        <w:autoSpaceDE/>
        <w:autoSpaceDN/>
        <w:bidi w:val="0"/>
        <w:spacing w:before="0" w:beforeAutospacing="0" w:after="0" w:afterAutospacing="0" w:line="360" w:lineRule="auto"/>
        <w:ind w:left="240" w:leftChars="100" w:right="154" w:rightChars="64" w:firstLine="239" w:firstLineChars="114"/>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4、本合同总价款还包含乙方应当提供的伴随服务/售后服务费用；　</w:t>
      </w:r>
    </w:p>
    <w:p>
      <w:pPr>
        <w:pStyle w:val="98"/>
        <w:keepLines w:val="0"/>
        <w:pageBreakBefore w:val="0"/>
        <w:kinsoku/>
        <w:wordWrap/>
        <w:overflowPunct/>
        <w:topLinePunct w:val="0"/>
        <w:autoSpaceDE/>
        <w:autoSpaceDN/>
        <w:bidi w:val="0"/>
        <w:spacing w:before="0" w:beforeAutospacing="0" w:after="0" w:afterAutospacing="0" w:line="360" w:lineRule="auto"/>
        <w:ind w:left="240" w:leftChars="100" w:right="154" w:rightChars="64" w:firstLine="239" w:firstLineChars="114"/>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5、本项目最终结算以实际供货数量分批结算，并以中标单价按实际</w:t>
      </w:r>
      <w:r>
        <w:rPr>
          <w:rFonts w:hint="eastAsia" w:asciiTheme="minorEastAsia" w:hAnsiTheme="minorEastAsia" w:eastAsiaTheme="minorEastAsia" w:cstheme="minorEastAsia"/>
          <w:sz w:val="21"/>
          <w:szCs w:val="21"/>
          <w:highlight w:val="none"/>
          <w:lang w:val="en-US" w:eastAsia="zh-Hans"/>
        </w:rPr>
        <w:t>数</w:t>
      </w:r>
      <w:r>
        <w:rPr>
          <w:rFonts w:hint="eastAsia" w:asciiTheme="minorEastAsia" w:hAnsiTheme="minorEastAsia" w:eastAsiaTheme="minorEastAsia" w:cstheme="minorEastAsia"/>
          <w:sz w:val="21"/>
          <w:szCs w:val="21"/>
          <w:highlight w:val="none"/>
          <w:lang w:val="en-US" w:eastAsia="zh-CN"/>
        </w:rPr>
        <w:t>量结算。</w:t>
      </w:r>
    </w:p>
    <w:p>
      <w:pPr>
        <w:pStyle w:val="98"/>
        <w:keepLines w:val="0"/>
        <w:pageBreakBefore w:val="0"/>
        <w:kinsoku/>
        <w:wordWrap/>
        <w:overflowPunct/>
        <w:topLinePunct w:val="0"/>
        <w:autoSpaceDE/>
        <w:autoSpaceDN/>
        <w:bidi w:val="0"/>
        <w:spacing w:before="0" w:beforeAutospacing="0" w:after="0" w:afterAutospacing="0" w:line="360" w:lineRule="auto"/>
        <w:ind w:left="240" w:leftChars="100" w:right="154" w:rightChars="64" w:firstLine="239" w:firstLineChars="114"/>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w:t>
      </w:r>
      <w:r>
        <w:rPr>
          <w:rFonts w:hint="eastAsia" w:ascii="宋体" w:hAnsi="宋体" w:eastAsia="宋体" w:cs="宋体"/>
          <w:sz w:val="21"/>
          <w:szCs w:val="21"/>
        </w:rPr>
        <w:t>若采购货物不在本次采购清单内的货物规格，无参考价格的，则参考市场价，由</w:t>
      </w:r>
      <w:r>
        <w:rPr>
          <w:rFonts w:hint="eastAsia" w:eastAsia="宋体" w:cs="宋体"/>
          <w:sz w:val="21"/>
          <w:szCs w:val="21"/>
          <w:lang w:val="en-US" w:eastAsia="zh-CN"/>
        </w:rPr>
        <w:t>甲乙双方</w:t>
      </w:r>
      <w:r>
        <w:rPr>
          <w:rFonts w:hint="eastAsia" w:ascii="宋体" w:hAnsi="宋体" w:eastAsia="宋体" w:cs="宋体"/>
          <w:sz w:val="21"/>
          <w:szCs w:val="21"/>
        </w:rPr>
        <w:t>协商确定价格（含13%税率及其他费用），结算时以协商价*中标费率计。</w:t>
      </w:r>
    </w:p>
    <w:p>
      <w:pPr>
        <w:spacing w:line="360" w:lineRule="auto"/>
        <w:ind w:left="240" w:leftChars="100" w:right="154" w:rightChars="64" w:firstLine="240" w:firstLineChars="114"/>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kern w:val="2"/>
          <w:sz w:val="21"/>
          <w:szCs w:val="21"/>
          <w:highlight w:val="none"/>
          <w:lang w:val="en-US" w:eastAsia="zh-CN" w:bidi="ar-SA"/>
        </w:rPr>
        <w:t>三、质量要求、技术标准：</w:t>
      </w:r>
    </w:p>
    <w:p>
      <w:pPr>
        <w:keepNext w:val="0"/>
        <w:keepLines w:val="0"/>
        <w:pageBreakBefore w:val="0"/>
        <w:widowControl w:val="0"/>
        <w:kinsoku/>
        <w:wordWrap/>
        <w:overflowPunct/>
        <w:topLinePunct w:val="0"/>
        <w:autoSpaceDE/>
        <w:autoSpaceDN/>
        <w:bidi w:val="0"/>
        <w:adjustRightInd w:val="0"/>
        <w:snapToGrid w:val="0"/>
        <w:spacing w:line="360" w:lineRule="auto"/>
        <w:ind w:left="240" w:leftChars="100" w:right="154" w:rightChars="64" w:firstLine="239" w:firstLineChars="11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1、哈夫节的材质为球墨铸铁，其石墨的球化级别应不低于GB/T9441中规定的3级，并符合GB/T 1348规定。</w:t>
      </w:r>
    </w:p>
    <w:p>
      <w:pPr>
        <w:keepNext w:val="0"/>
        <w:keepLines w:val="0"/>
        <w:pageBreakBefore w:val="0"/>
        <w:widowControl w:val="0"/>
        <w:kinsoku/>
        <w:wordWrap/>
        <w:overflowPunct/>
        <w:topLinePunct w:val="0"/>
        <w:autoSpaceDE/>
        <w:autoSpaceDN/>
        <w:bidi w:val="0"/>
        <w:adjustRightInd w:val="0"/>
        <w:snapToGrid w:val="0"/>
        <w:spacing w:line="360" w:lineRule="auto"/>
        <w:ind w:left="240" w:leftChars="100" w:right="154" w:rightChars="64" w:firstLine="239" w:firstLineChars="114"/>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2、哈夫节橡胶密封件材质为天然橡胶标准（NR）。其卫生指标应符合GB17219规定，密封件形式要求具有三道以上锯齿形结构，保证密封性能。橡胶密封件</w:t>
      </w:r>
      <w:r>
        <w:rPr>
          <w:rFonts w:hint="eastAsia" w:ascii="宋体" w:hAnsi="宋体" w:eastAsia="宋体" w:cs="宋体"/>
          <w:sz w:val="21"/>
          <w:szCs w:val="21"/>
          <w:highlight w:val="none"/>
          <w:lang w:eastAsia="zh-CN"/>
        </w:rPr>
        <w:t>上必须注有生产日期。</w:t>
      </w:r>
    </w:p>
    <w:p>
      <w:pPr>
        <w:keepNext w:val="0"/>
        <w:keepLines w:val="0"/>
        <w:pageBreakBefore w:val="0"/>
        <w:widowControl w:val="0"/>
        <w:kinsoku/>
        <w:wordWrap/>
        <w:overflowPunct/>
        <w:topLinePunct w:val="0"/>
        <w:autoSpaceDE/>
        <w:autoSpaceDN/>
        <w:bidi w:val="0"/>
        <w:adjustRightInd w:val="0"/>
        <w:snapToGrid w:val="0"/>
        <w:spacing w:line="360" w:lineRule="auto"/>
        <w:ind w:left="240" w:leftChars="100" w:right="154" w:rightChars="64" w:firstLine="239" w:firstLineChars="11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3、哈夫节内外表面喷涂材质为饮用水管道专用环氧粉末涂料（4500型），紧固件应符合GB/T8259中3.4的规定。</w:t>
      </w:r>
    </w:p>
    <w:p>
      <w:pPr>
        <w:keepNext w:val="0"/>
        <w:keepLines w:val="0"/>
        <w:pageBreakBefore w:val="0"/>
        <w:widowControl w:val="0"/>
        <w:kinsoku/>
        <w:wordWrap/>
        <w:overflowPunct/>
        <w:topLinePunct w:val="0"/>
        <w:autoSpaceDE/>
        <w:autoSpaceDN/>
        <w:bidi w:val="0"/>
        <w:adjustRightInd w:val="0"/>
        <w:snapToGrid w:val="0"/>
        <w:spacing w:line="360" w:lineRule="auto"/>
        <w:ind w:left="240" w:leftChars="100" w:right="154" w:rightChars="64" w:firstLine="239" w:firstLineChars="11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4、哈夫节内外层涂覆，如用于输送生活饮用水管道时，不应对生活饮用水产生有害影响，其要求应符合GB/T17219 的规定。</w:t>
      </w:r>
    </w:p>
    <w:p>
      <w:pPr>
        <w:keepNext w:val="0"/>
        <w:keepLines w:val="0"/>
        <w:pageBreakBefore w:val="0"/>
        <w:widowControl w:val="0"/>
        <w:kinsoku/>
        <w:wordWrap/>
        <w:overflowPunct/>
        <w:topLinePunct w:val="0"/>
        <w:autoSpaceDE/>
        <w:autoSpaceDN/>
        <w:bidi w:val="0"/>
        <w:adjustRightInd w:val="0"/>
        <w:snapToGrid w:val="0"/>
        <w:spacing w:line="360" w:lineRule="auto"/>
        <w:ind w:left="240" w:leftChars="100" w:right="154" w:rightChars="64" w:firstLine="239" w:firstLineChars="11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5、铸件内外表面应光滑平整，防腐涂层均匀牢固，无气泡或涂层堆积，无铸造缺陷，内壁凹凸不平不大于2mm，铸字为凸形字，字迹清晰。</w:t>
      </w:r>
    </w:p>
    <w:p>
      <w:pPr>
        <w:keepNext w:val="0"/>
        <w:keepLines w:val="0"/>
        <w:pageBreakBefore w:val="0"/>
        <w:widowControl w:val="0"/>
        <w:kinsoku/>
        <w:wordWrap/>
        <w:overflowPunct/>
        <w:topLinePunct w:val="0"/>
        <w:autoSpaceDE/>
        <w:autoSpaceDN/>
        <w:bidi w:val="0"/>
        <w:adjustRightInd w:val="0"/>
        <w:snapToGrid w:val="0"/>
        <w:spacing w:line="360" w:lineRule="auto"/>
        <w:ind w:left="240" w:leftChars="100" w:right="154" w:rightChars="64" w:firstLine="239" w:firstLineChars="11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6、壁厚允许偏差不大于0.5mm，长度允许偏差±5mm，螺栓孔径尺寸允许偏差＋（1—2）mm，螺栓孔中心距离偏差±0.5mm。</w:t>
      </w:r>
    </w:p>
    <w:p>
      <w:pPr>
        <w:keepNext w:val="0"/>
        <w:keepLines w:val="0"/>
        <w:pageBreakBefore w:val="0"/>
        <w:widowControl w:val="0"/>
        <w:kinsoku/>
        <w:wordWrap/>
        <w:overflowPunct/>
        <w:topLinePunct w:val="0"/>
        <w:autoSpaceDE/>
        <w:autoSpaceDN/>
        <w:bidi w:val="0"/>
        <w:adjustRightInd w:val="0"/>
        <w:snapToGrid w:val="0"/>
        <w:spacing w:line="360" w:lineRule="auto"/>
        <w:ind w:left="240" w:leftChars="100" w:right="154" w:rightChars="64" w:firstLine="239" w:firstLineChars="11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7、配套罗螺栓具备较高的防腐性能 (热镀锌或不锈钢材质) 。</w:t>
      </w:r>
    </w:p>
    <w:p>
      <w:pPr>
        <w:keepNext w:val="0"/>
        <w:keepLines w:val="0"/>
        <w:pageBreakBefore w:val="0"/>
        <w:widowControl w:val="0"/>
        <w:kinsoku/>
        <w:wordWrap/>
        <w:overflowPunct/>
        <w:topLinePunct w:val="0"/>
        <w:autoSpaceDE/>
        <w:autoSpaceDN/>
        <w:bidi w:val="0"/>
        <w:adjustRightInd w:val="0"/>
        <w:snapToGrid w:val="0"/>
        <w:spacing w:line="360" w:lineRule="auto"/>
        <w:ind w:left="240" w:leftChars="100" w:right="154" w:rightChars="64" w:firstLine="239" w:firstLineChars="11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8、产品出厂前必须逐一进行水压试验。规格为DN15至DN200（含）口径的哈夫节在1.0Mpa压力下，不应发生渗漏现象。规格为DN200（不含）至DN1400口径的哈夫节在1.0Mpa压力下，不应发生渗漏现象。</w:t>
      </w:r>
    </w:p>
    <w:p>
      <w:pPr>
        <w:keepNext w:val="0"/>
        <w:keepLines w:val="0"/>
        <w:pageBreakBefore w:val="0"/>
        <w:widowControl w:val="0"/>
        <w:kinsoku/>
        <w:wordWrap/>
        <w:overflowPunct/>
        <w:topLinePunct w:val="0"/>
        <w:autoSpaceDE/>
        <w:autoSpaceDN/>
        <w:bidi w:val="0"/>
        <w:adjustRightInd w:val="0"/>
        <w:snapToGrid w:val="0"/>
        <w:spacing w:line="360" w:lineRule="auto"/>
        <w:ind w:left="240" w:leftChars="100" w:right="154" w:rightChars="64" w:firstLine="239" w:firstLineChars="114"/>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9、哈夫节外表面必须注有厂家标识、规格型号等。</w:t>
      </w:r>
    </w:p>
    <w:p>
      <w:pPr>
        <w:pStyle w:val="98"/>
        <w:keepLines w:val="0"/>
        <w:pageBreakBefore w:val="0"/>
        <w:numPr>
          <w:ilvl w:val="0"/>
          <w:numId w:val="0"/>
        </w:numPr>
        <w:kinsoku/>
        <w:wordWrap/>
        <w:overflowPunct/>
        <w:topLinePunct w:val="0"/>
        <w:autoSpaceDE/>
        <w:autoSpaceDN/>
        <w:bidi w:val="0"/>
        <w:spacing w:before="0" w:beforeAutospacing="0" w:after="0" w:afterAutospacing="0" w:line="360" w:lineRule="auto"/>
        <w:ind w:left="240" w:leftChars="100" w:right="154" w:rightChars="64" w:firstLine="240" w:firstLineChars="114"/>
        <w:rPr>
          <w:rFonts w:hint="eastAsia" w:asciiTheme="minorEastAsia" w:hAnsiTheme="minorEastAsia" w:eastAsiaTheme="minorEastAsia" w:cstheme="minorEastAsia"/>
          <w:b/>
          <w:bCs/>
          <w:kern w:val="2"/>
          <w:sz w:val="21"/>
          <w:szCs w:val="21"/>
          <w:highlight w:val="none"/>
          <w:lang w:val="en-US" w:eastAsia="zh-CN" w:bidi="ar-SA"/>
        </w:rPr>
      </w:pPr>
      <w:r>
        <w:rPr>
          <w:rFonts w:hint="eastAsia" w:asciiTheme="minorEastAsia" w:hAnsiTheme="minorEastAsia" w:eastAsiaTheme="minorEastAsia" w:cstheme="minorEastAsia"/>
          <w:b/>
          <w:bCs/>
          <w:kern w:val="2"/>
          <w:sz w:val="21"/>
          <w:szCs w:val="21"/>
          <w:highlight w:val="none"/>
          <w:lang w:val="en-US" w:eastAsia="zh-CN" w:bidi="ar-SA"/>
        </w:rPr>
        <w:t>四、商务要求</w:t>
      </w:r>
    </w:p>
    <w:p>
      <w:pPr>
        <w:keepNext w:val="0"/>
        <w:keepLines w:val="0"/>
        <w:pageBreakBefore w:val="0"/>
        <w:kinsoku/>
        <w:wordWrap/>
        <w:overflowPunct/>
        <w:topLinePunct w:val="0"/>
        <w:autoSpaceDE/>
        <w:autoSpaceDN/>
        <w:bidi w:val="0"/>
        <w:adjustRightInd w:val="0"/>
        <w:snapToGrid w:val="0"/>
        <w:spacing w:line="360" w:lineRule="auto"/>
        <w:ind w:left="240" w:leftChars="100" w:right="154" w:rightChars="64" w:firstLine="239" w:firstLineChars="114"/>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1、</w:t>
      </w:r>
      <w:r>
        <w:rPr>
          <w:rFonts w:hint="eastAsia" w:asciiTheme="minorEastAsia" w:hAnsiTheme="minorEastAsia" w:eastAsiaTheme="minorEastAsia" w:cstheme="minorEastAsia"/>
          <w:color w:val="000000"/>
          <w:sz w:val="21"/>
          <w:szCs w:val="21"/>
          <w:highlight w:val="none"/>
        </w:rPr>
        <w:t>项目质保期要求：</w:t>
      </w:r>
    </w:p>
    <w:p>
      <w:pPr>
        <w:keepNext w:val="0"/>
        <w:keepLines w:val="0"/>
        <w:pageBreakBefore w:val="0"/>
        <w:kinsoku/>
        <w:wordWrap/>
        <w:overflowPunct/>
        <w:topLinePunct w:val="0"/>
        <w:autoSpaceDE/>
        <w:autoSpaceDN/>
        <w:bidi w:val="0"/>
        <w:adjustRightInd w:val="0"/>
        <w:snapToGrid w:val="0"/>
        <w:spacing w:line="360" w:lineRule="auto"/>
        <w:ind w:left="240" w:leftChars="100" w:right="154" w:rightChars="64" w:firstLine="239" w:firstLineChars="114"/>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本项目质保期为</w:t>
      </w:r>
      <w:r>
        <w:rPr>
          <w:rFonts w:hint="eastAsia" w:asciiTheme="minorEastAsia" w:hAnsiTheme="minorEastAsia" w:eastAsiaTheme="minorEastAsia" w:cstheme="minorEastAsia"/>
          <w:color w:val="000000"/>
          <w:sz w:val="21"/>
          <w:szCs w:val="21"/>
          <w:highlight w:val="none"/>
          <w:u w:val="single"/>
          <w:lang w:val="en-US" w:eastAsia="zh-CN"/>
        </w:rPr>
        <w:t xml:space="preserve">     </w:t>
      </w:r>
      <w:r>
        <w:rPr>
          <w:rFonts w:hint="eastAsia" w:asciiTheme="minorEastAsia" w:hAnsiTheme="minorEastAsia" w:eastAsiaTheme="minorEastAsia" w:cstheme="minorEastAsia"/>
          <w:color w:val="000000"/>
          <w:sz w:val="21"/>
          <w:szCs w:val="21"/>
          <w:highlight w:val="none"/>
        </w:rPr>
        <w:t>年。</w:t>
      </w:r>
    </w:p>
    <w:p>
      <w:pPr>
        <w:keepNext w:val="0"/>
        <w:keepLines w:val="0"/>
        <w:pageBreakBefore w:val="0"/>
        <w:kinsoku/>
        <w:wordWrap/>
        <w:overflowPunct/>
        <w:topLinePunct w:val="0"/>
        <w:autoSpaceDE/>
        <w:autoSpaceDN/>
        <w:bidi w:val="0"/>
        <w:adjustRightInd w:val="0"/>
        <w:snapToGrid w:val="0"/>
        <w:spacing w:line="360" w:lineRule="auto"/>
        <w:ind w:left="240" w:leftChars="100" w:right="154" w:rightChars="64" w:firstLine="239" w:firstLineChars="114"/>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2、</w:t>
      </w:r>
      <w:r>
        <w:rPr>
          <w:rFonts w:hint="eastAsia" w:asciiTheme="minorEastAsia" w:hAnsiTheme="minorEastAsia" w:eastAsiaTheme="minorEastAsia" w:cstheme="minorEastAsia"/>
          <w:color w:val="000000"/>
          <w:sz w:val="21"/>
          <w:szCs w:val="21"/>
          <w:highlight w:val="none"/>
        </w:rPr>
        <w:t>付款方式：</w:t>
      </w:r>
    </w:p>
    <w:p>
      <w:pPr>
        <w:keepNext w:val="0"/>
        <w:keepLines w:val="0"/>
        <w:pageBreakBefore w:val="0"/>
        <w:kinsoku/>
        <w:wordWrap/>
        <w:overflowPunct/>
        <w:topLinePunct w:val="0"/>
        <w:autoSpaceDE/>
        <w:autoSpaceDN/>
        <w:bidi w:val="0"/>
        <w:adjustRightInd w:val="0"/>
        <w:snapToGrid w:val="0"/>
        <w:spacing w:line="360" w:lineRule="auto"/>
        <w:ind w:left="240" w:leftChars="100" w:right="154" w:rightChars="64" w:firstLine="239" w:firstLineChars="114"/>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本项目最终结算以实际供货数量分批结算，并以中标单价按实际用量结算。每批的供货时间和数量由</w:t>
      </w:r>
      <w:r>
        <w:rPr>
          <w:rFonts w:hint="eastAsia" w:asciiTheme="minorEastAsia" w:hAnsiTheme="minorEastAsia" w:eastAsiaTheme="minorEastAsia" w:cstheme="minorEastAsia"/>
          <w:color w:val="000000"/>
          <w:sz w:val="21"/>
          <w:szCs w:val="21"/>
          <w:highlight w:val="none"/>
          <w:lang w:eastAsia="zh-CN"/>
        </w:rPr>
        <w:t>甲方</w:t>
      </w:r>
      <w:r>
        <w:rPr>
          <w:rFonts w:hint="eastAsia" w:asciiTheme="minorEastAsia" w:hAnsiTheme="minorEastAsia" w:eastAsiaTheme="minorEastAsia" w:cstheme="minorEastAsia"/>
          <w:color w:val="000000"/>
          <w:sz w:val="21"/>
          <w:szCs w:val="21"/>
          <w:highlight w:val="none"/>
        </w:rPr>
        <w:t>确定，每批货物经专业检测机构检测合格后</w:t>
      </w:r>
      <w:r>
        <w:rPr>
          <w:rFonts w:hint="eastAsia" w:asciiTheme="minorEastAsia" w:hAnsiTheme="minorEastAsia" w:eastAsiaTheme="minorEastAsia" w:cstheme="minorEastAsia"/>
          <w:color w:val="000000"/>
          <w:sz w:val="21"/>
          <w:szCs w:val="21"/>
          <w:highlight w:val="none"/>
          <w:lang w:val="en-US" w:eastAsia="zh-CN"/>
        </w:rPr>
        <w:t>30</w:t>
      </w:r>
      <w:r>
        <w:rPr>
          <w:rFonts w:hint="eastAsia" w:asciiTheme="minorEastAsia" w:hAnsiTheme="minorEastAsia" w:eastAsiaTheme="minorEastAsia" w:cstheme="minorEastAsia"/>
          <w:color w:val="000000"/>
          <w:sz w:val="21"/>
          <w:szCs w:val="21"/>
          <w:highlight w:val="none"/>
        </w:rPr>
        <w:t>个工作日内付清该批货款。</w:t>
      </w:r>
    </w:p>
    <w:p>
      <w:pPr>
        <w:keepNext w:val="0"/>
        <w:keepLines w:val="0"/>
        <w:pageBreakBefore w:val="0"/>
        <w:kinsoku/>
        <w:wordWrap/>
        <w:overflowPunct/>
        <w:topLinePunct w:val="0"/>
        <w:autoSpaceDE/>
        <w:autoSpaceDN/>
        <w:bidi w:val="0"/>
        <w:adjustRightInd w:val="0"/>
        <w:snapToGrid w:val="0"/>
        <w:spacing w:line="360" w:lineRule="auto"/>
        <w:ind w:left="240" w:leftChars="100" w:right="154" w:rightChars="64" w:firstLine="239" w:firstLineChars="114"/>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3、</w:t>
      </w:r>
      <w:r>
        <w:rPr>
          <w:rFonts w:hint="eastAsia" w:asciiTheme="minorEastAsia" w:hAnsiTheme="minorEastAsia" w:eastAsiaTheme="minorEastAsia" w:cstheme="minorEastAsia"/>
          <w:color w:val="000000"/>
          <w:sz w:val="21"/>
          <w:szCs w:val="21"/>
          <w:highlight w:val="none"/>
        </w:rPr>
        <w:t>交货时间及地点：</w:t>
      </w:r>
    </w:p>
    <w:p>
      <w:pPr>
        <w:keepNext w:val="0"/>
        <w:keepLines w:val="0"/>
        <w:pageBreakBefore w:val="0"/>
        <w:kinsoku/>
        <w:wordWrap/>
        <w:overflowPunct/>
        <w:topLinePunct w:val="0"/>
        <w:autoSpaceDE/>
        <w:autoSpaceDN/>
        <w:bidi w:val="0"/>
        <w:adjustRightInd w:val="0"/>
        <w:snapToGrid w:val="0"/>
        <w:spacing w:line="360" w:lineRule="auto"/>
        <w:ind w:left="240" w:leftChars="100" w:right="154" w:rightChars="64" w:firstLine="239" w:firstLineChars="114"/>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合同签订后，供货期间，</w:t>
      </w:r>
      <w:r>
        <w:rPr>
          <w:rFonts w:hint="eastAsia" w:asciiTheme="minorEastAsia" w:hAnsiTheme="minorEastAsia" w:eastAsiaTheme="minorEastAsia" w:cstheme="minorEastAsia"/>
          <w:color w:val="000000"/>
          <w:sz w:val="21"/>
          <w:szCs w:val="21"/>
          <w:highlight w:val="none"/>
          <w:lang w:eastAsia="zh-CN"/>
        </w:rPr>
        <w:t>乙方</w:t>
      </w:r>
      <w:r>
        <w:rPr>
          <w:rFonts w:hint="eastAsia" w:asciiTheme="minorEastAsia" w:hAnsiTheme="minorEastAsia" w:eastAsiaTheme="minorEastAsia" w:cstheme="minorEastAsia"/>
          <w:color w:val="000000"/>
          <w:sz w:val="21"/>
          <w:szCs w:val="21"/>
          <w:highlight w:val="none"/>
        </w:rPr>
        <w:t>在收到</w:t>
      </w:r>
      <w:r>
        <w:rPr>
          <w:rFonts w:hint="eastAsia" w:asciiTheme="minorEastAsia" w:hAnsiTheme="minorEastAsia" w:eastAsiaTheme="minorEastAsia" w:cstheme="minorEastAsia"/>
          <w:color w:val="000000"/>
          <w:sz w:val="21"/>
          <w:szCs w:val="21"/>
          <w:highlight w:val="none"/>
          <w:lang w:eastAsia="zh-CN"/>
        </w:rPr>
        <w:t>甲方</w:t>
      </w:r>
      <w:r>
        <w:rPr>
          <w:rFonts w:hint="eastAsia" w:asciiTheme="minorEastAsia" w:hAnsiTheme="minorEastAsia" w:eastAsiaTheme="minorEastAsia" w:cstheme="minorEastAsia"/>
          <w:color w:val="000000"/>
          <w:sz w:val="21"/>
          <w:szCs w:val="21"/>
          <w:highlight w:val="none"/>
        </w:rPr>
        <w:t>每批供货通知后7天内完成供货，免费送至</w:t>
      </w:r>
      <w:r>
        <w:rPr>
          <w:rFonts w:hint="eastAsia" w:asciiTheme="minorEastAsia" w:hAnsiTheme="minorEastAsia" w:eastAsiaTheme="minorEastAsia" w:cstheme="minorEastAsia"/>
          <w:color w:val="000000"/>
          <w:sz w:val="21"/>
          <w:szCs w:val="21"/>
          <w:highlight w:val="none"/>
          <w:lang w:eastAsia="zh-CN"/>
        </w:rPr>
        <w:t>甲方</w:t>
      </w:r>
      <w:r>
        <w:rPr>
          <w:rFonts w:hint="eastAsia" w:asciiTheme="minorEastAsia" w:hAnsiTheme="minorEastAsia" w:eastAsiaTheme="minorEastAsia" w:cstheme="minorEastAsia"/>
          <w:color w:val="000000"/>
          <w:sz w:val="21"/>
          <w:szCs w:val="21"/>
          <w:highlight w:val="none"/>
        </w:rPr>
        <w:t>指定地点。</w:t>
      </w:r>
    </w:p>
    <w:p>
      <w:pPr>
        <w:keepNext w:val="0"/>
        <w:keepLines w:val="0"/>
        <w:pageBreakBefore w:val="0"/>
        <w:kinsoku/>
        <w:wordWrap/>
        <w:overflowPunct/>
        <w:topLinePunct w:val="0"/>
        <w:autoSpaceDE/>
        <w:autoSpaceDN/>
        <w:bidi w:val="0"/>
        <w:adjustRightInd w:val="0"/>
        <w:snapToGrid w:val="0"/>
        <w:spacing w:line="360" w:lineRule="auto"/>
        <w:ind w:left="240" w:leftChars="100" w:right="154" w:rightChars="64" w:firstLine="239" w:firstLineChars="114"/>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4、</w:t>
      </w:r>
      <w:r>
        <w:rPr>
          <w:rFonts w:hint="eastAsia" w:asciiTheme="minorEastAsia" w:hAnsiTheme="minorEastAsia" w:eastAsiaTheme="minorEastAsia" w:cstheme="minorEastAsia"/>
          <w:color w:val="000000"/>
          <w:sz w:val="21"/>
          <w:szCs w:val="21"/>
          <w:highlight w:val="none"/>
        </w:rPr>
        <w:t>中标后货物每批次需有详细的供货清单，且需按</w:t>
      </w:r>
      <w:r>
        <w:rPr>
          <w:rFonts w:hint="eastAsia" w:asciiTheme="minorEastAsia" w:hAnsiTheme="minorEastAsia" w:eastAsiaTheme="minorEastAsia" w:cstheme="minorEastAsia"/>
          <w:color w:val="000000"/>
          <w:sz w:val="21"/>
          <w:szCs w:val="21"/>
          <w:highlight w:val="none"/>
          <w:lang w:eastAsia="zh-CN"/>
        </w:rPr>
        <w:t>甲方</w:t>
      </w:r>
      <w:r>
        <w:rPr>
          <w:rFonts w:hint="eastAsia" w:asciiTheme="minorEastAsia" w:hAnsiTheme="minorEastAsia" w:eastAsiaTheme="minorEastAsia" w:cstheme="minorEastAsia"/>
          <w:color w:val="000000"/>
          <w:sz w:val="21"/>
          <w:szCs w:val="21"/>
          <w:highlight w:val="none"/>
        </w:rPr>
        <w:t>要求格式提供。</w:t>
      </w:r>
    </w:p>
    <w:p>
      <w:pPr>
        <w:spacing w:line="360" w:lineRule="auto"/>
        <w:ind w:left="240" w:leftChars="100" w:right="154" w:rightChars="64" w:firstLine="239" w:firstLineChars="114"/>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5、</w:t>
      </w:r>
      <w:r>
        <w:rPr>
          <w:rFonts w:hint="eastAsia" w:asciiTheme="minorEastAsia" w:hAnsiTheme="minorEastAsia" w:eastAsiaTheme="minorEastAsia" w:cstheme="minorEastAsia"/>
          <w:color w:val="000000"/>
          <w:sz w:val="21"/>
          <w:szCs w:val="21"/>
          <w:highlight w:val="none"/>
        </w:rPr>
        <w:t>中标后厂家在</w:t>
      </w:r>
      <w:r>
        <w:rPr>
          <w:rFonts w:hint="eastAsia" w:asciiTheme="minorEastAsia" w:hAnsiTheme="minorEastAsia" w:eastAsiaTheme="minorEastAsia" w:cstheme="minorEastAsia"/>
          <w:color w:val="000000"/>
          <w:sz w:val="21"/>
          <w:szCs w:val="21"/>
          <w:highlight w:val="none"/>
          <w:lang w:val="en-US" w:eastAsia="zh-CN"/>
        </w:rPr>
        <w:t>衢州地区</w:t>
      </w:r>
      <w:r>
        <w:rPr>
          <w:rFonts w:hint="eastAsia" w:asciiTheme="minorEastAsia" w:hAnsiTheme="minorEastAsia" w:eastAsiaTheme="minorEastAsia" w:cstheme="minorEastAsia"/>
          <w:color w:val="000000"/>
          <w:sz w:val="21"/>
          <w:szCs w:val="21"/>
          <w:highlight w:val="none"/>
          <w:lang w:eastAsia="zh-CN"/>
        </w:rPr>
        <w:t>内</w:t>
      </w:r>
      <w:r>
        <w:rPr>
          <w:rFonts w:hint="eastAsia" w:asciiTheme="minorEastAsia" w:hAnsiTheme="minorEastAsia" w:eastAsiaTheme="minorEastAsia" w:cstheme="minorEastAsia"/>
          <w:color w:val="000000"/>
          <w:sz w:val="21"/>
          <w:szCs w:val="21"/>
          <w:highlight w:val="none"/>
        </w:rPr>
        <w:t>要有专业维修服务网点或合作定点维修服务（有</w:t>
      </w:r>
      <w:r>
        <w:rPr>
          <w:rFonts w:hint="eastAsia" w:asciiTheme="minorEastAsia" w:hAnsiTheme="minorEastAsia" w:eastAsiaTheme="minorEastAsia" w:cstheme="minorEastAsia"/>
          <w:color w:val="000000"/>
          <w:sz w:val="21"/>
          <w:szCs w:val="21"/>
          <w:highlight w:val="none"/>
          <w:lang w:eastAsia="zh-CN"/>
        </w:rPr>
        <w:t>服务</w:t>
      </w:r>
      <w:r>
        <w:rPr>
          <w:rFonts w:hint="eastAsia" w:asciiTheme="minorEastAsia" w:hAnsiTheme="minorEastAsia" w:eastAsiaTheme="minorEastAsia" w:cstheme="minorEastAsia"/>
          <w:color w:val="000000"/>
          <w:sz w:val="21"/>
          <w:szCs w:val="21"/>
          <w:highlight w:val="none"/>
        </w:rPr>
        <w:t>协议原件备查），有备品仓库，定时或不定时</w:t>
      </w:r>
      <w:r>
        <w:rPr>
          <w:rFonts w:hint="eastAsia" w:asciiTheme="minorEastAsia" w:hAnsiTheme="minorEastAsia" w:eastAsiaTheme="minorEastAsia" w:cstheme="minorEastAsia"/>
          <w:color w:val="000000"/>
          <w:sz w:val="21"/>
          <w:szCs w:val="21"/>
          <w:highlight w:val="none"/>
          <w:lang w:val="en-US" w:eastAsia="zh-CN"/>
        </w:rPr>
        <w:t>巡检</w:t>
      </w:r>
      <w:r>
        <w:rPr>
          <w:rFonts w:hint="eastAsia" w:asciiTheme="minorEastAsia" w:hAnsiTheme="minorEastAsia" w:eastAsiaTheme="minorEastAsia" w:cstheme="minorEastAsia"/>
          <w:color w:val="000000"/>
          <w:sz w:val="21"/>
          <w:szCs w:val="21"/>
          <w:highlight w:val="none"/>
        </w:rPr>
        <w:t>。</w:t>
      </w:r>
    </w:p>
    <w:p>
      <w:pPr>
        <w:keepNext w:val="0"/>
        <w:keepLines w:val="0"/>
        <w:pageBreakBefore w:val="0"/>
        <w:kinsoku/>
        <w:wordWrap/>
        <w:overflowPunct/>
        <w:topLinePunct w:val="0"/>
        <w:autoSpaceDE/>
        <w:autoSpaceDN/>
        <w:bidi w:val="0"/>
        <w:adjustRightInd w:val="0"/>
        <w:snapToGrid w:val="0"/>
        <w:spacing w:line="360" w:lineRule="auto"/>
        <w:ind w:left="240" w:leftChars="100" w:right="154" w:rightChars="64" w:firstLine="239" w:firstLineChars="114"/>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6、运输方式及到达站港和费用负担：采用汽车运输，供货方负担至交货地的全部的运输费、装车费、卸车费及搬运费等一切费用。</w:t>
      </w:r>
    </w:p>
    <w:p>
      <w:pPr>
        <w:keepNext w:val="0"/>
        <w:keepLines w:val="0"/>
        <w:pageBreakBefore w:val="0"/>
        <w:kinsoku/>
        <w:wordWrap/>
        <w:overflowPunct/>
        <w:topLinePunct w:val="0"/>
        <w:autoSpaceDE/>
        <w:autoSpaceDN/>
        <w:bidi w:val="0"/>
        <w:adjustRightInd w:val="0"/>
        <w:snapToGrid w:val="0"/>
        <w:spacing w:line="360" w:lineRule="auto"/>
        <w:ind w:left="240" w:leftChars="100" w:right="154" w:rightChars="64" w:firstLine="239" w:firstLineChars="114"/>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7、合理损耗及计算方式：无</w:t>
      </w:r>
    </w:p>
    <w:p>
      <w:pPr>
        <w:numPr>
          <w:ilvl w:val="0"/>
          <w:numId w:val="0"/>
        </w:numPr>
        <w:spacing w:line="360" w:lineRule="auto"/>
        <w:ind w:left="240" w:leftChars="100" w:right="154" w:rightChars="64" w:firstLine="239" w:firstLineChars="114"/>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8、</w:t>
      </w:r>
      <w:r>
        <w:rPr>
          <w:rFonts w:hint="eastAsia" w:asciiTheme="minorEastAsia" w:hAnsiTheme="minorEastAsia" w:eastAsiaTheme="minorEastAsia" w:cstheme="minorEastAsia"/>
          <w:color w:val="000000"/>
          <w:sz w:val="21"/>
          <w:szCs w:val="21"/>
          <w:highlight w:val="none"/>
        </w:rPr>
        <w:t>包装标准、包装物的供应与回收：</w:t>
      </w:r>
      <w:r>
        <w:rPr>
          <w:rFonts w:hint="eastAsia" w:asciiTheme="minorEastAsia" w:hAnsiTheme="minorEastAsia" w:eastAsiaTheme="minorEastAsia" w:cstheme="minorEastAsia"/>
          <w:color w:val="000000"/>
          <w:sz w:val="21"/>
          <w:szCs w:val="21"/>
          <w:highlight w:val="none"/>
          <w:lang w:val="en-US" w:eastAsia="zh-CN"/>
        </w:rPr>
        <w:t>货物</w:t>
      </w:r>
      <w:r>
        <w:rPr>
          <w:rFonts w:hint="eastAsia" w:asciiTheme="minorEastAsia" w:hAnsiTheme="minorEastAsia" w:eastAsiaTheme="minorEastAsia" w:cstheme="minorEastAsia"/>
          <w:color w:val="000000"/>
          <w:sz w:val="21"/>
          <w:szCs w:val="21"/>
          <w:highlight w:val="none"/>
        </w:rPr>
        <w:t>散装或套装。包装物不回收</w:t>
      </w:r>
    </w:p>
    <w:p>
      <w:pPr>
        <w:spacing w:line="360" w:lineRule="auto"/>
        <w:ind w:left="240" w:leftChars="100" w:right="154" w:rightChars="64" w:firstLine="239" w:firstLineChars="114"/>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9</w:t>
      </w:r>
      <w:r>
        <w:rPr>
          <w:rFonts w:hint="eastAsia" w:asciiTheme="minorEastAsia" w:hAnsiTheme="minorEastAsia" w:eastAsiaTheme="minorEastAsia" w:cstheme="minorEastAsia"/>
          <w:color w:val="000000"/>
          <w:sz w:val="21"/>
          <w:szCs w:val="21"/>
          <w:highlight w:val="none"/>
        </w:rPr>
        <w:t>、验收标准、方法及赔偿</w:t>
      </w:r>
    </w:p>
    <w:p>
      <w:pPr>
        <w:spacing w:line="360" w:lineRule="auto"/>
        <w:ind w:left="240" w:leftChars="100" w:right="154" w:rightChars="64" w:firstLine="239" w:firstLineChars="114"/>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9.</w:t>
      </w:r>
      <w:r>
        <w:rPr>
          <w:rFonts w:hint="eastAsia" w:asciiTheme="minorEastAsia" w:hAnsiTheme="minorEastAsia" w:eastAsiaTheme="minorEastAsia" w:cstheme="minorEastAsia"/>
          <w:color w:val="000000"/>
          <w:sz w:val="21"/>
          <w:szCs w:val="21"/>
          <w:highlight w:val="none"/>
        </w:rPr>
        <w:t>1.供货方产品按本合同第</w:t>
      </w:r>
      <w:r>
        <w:rPr>
          <w:rFonts w:hint="eastAsia" w:asciiTheme="minorEastAsia" w:hAnsiTheme="minorEastAsia" w:eastAsiaTheme="minorEastAsia" w:cstheme="minorEastAsia"/>
          <w:color w:val="000000"/>
          <w:sz w:val="21"/>
          <w:szCs w:val="21"/>
          <w:highlight w:val="none"/>
          <w:lang w:val="en-US" w:eastAsia="zh-CN"/>
        </w:rPr>
        <w:t>三</w:t>
      </w:r>
      <w:r>
        <w:rPr>
          <w:rFonts w:hint="eastAsia" w:asciiTheme="minorEastAsia" w:hAnsiTheme="minorEastAsia" w:eastAsiaTheme="minorEastAsia" w:cstheme="minorEastAsia"/>
          <w:color w:val="000000"/>
          <w:sz w:val="21"/>
          <w:szCs w:val="21"/>
          <w:highlight w:val="none"/>
        </w:rPr>
        <w:t>条规定的标准验收。交货时，采购方对货物的数量及外观进行初步验收。对发现的问题产品，供货方应及时无偿更换。</w:t>
      </w:r>
    </w:p>
    <w:p>
      <w:pPr>
        <w:spacing w:line="360" w:lineRule="auto"/>
        <w:ind w:left="240" w:leftChars="100" w:right="154" w:rightChars="64" w:firstLine="239" w:firstLineChars="114"/>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9.</w:t>
      </w:r>
      <w:r>
        <w:rPr>
          <w:rFonts w:hint="eastAsia" w:asciiTheme="minorEastAsia" w:hAnsiTheme="minorEastAsia" w:eastAsiaTheme="minorEastAsia" w:cstheme="minorEastAsia"/>
          <w:color w:val="000000"/>
          <w:sz w:val="21"/>
          <w:szCs w:val="21"/>
          <w:highlight w:val="none"/>
        </w:rPr>
        <w:t>2.抽样验收与复检</w:t>
      </w:r>
    </w:p>
    <w:p>
      <w:pPr>
        <w:spacing w:line="360" w:lineRule="auto"/>
        <w:ind w:left="240" w:leftChars="100" w:right="154" w:rightChars="64" w:firstLine="239" w:firstLineChars="114"/>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（1）采购方对批次产品随机进行抽检。每次抽检不少于1个规格，合同期内抽检次数不少于3次。样品由采购方送至有资质的质量检测部门进行检测，检测项目包含（但不限于）</w:t>
      </w:r>
      <w:r>
        <w:rPr>
          <w:rFonts w:hint="eastAsia" w:ascii="宋体" w:hAnsi="宋体" w:eastAsia="宋体" w:cs="宋体"/>
          <w:b w:val="0"/>
          <w:bCs/>
          <w:kern w:val="2"/>
          <w:sz w:val="21"/>
          <w:szCs w:val="21"/>
          <w:lang w:val="en-US" w:eastAsia="zh-CN" w:bidi="ar"/>
        </w:rPr>
        <w:t>GB/T13298-2009和GB/T9441-2009</w:t>
      </w:r>
      <w:r>
        <w:rPr>
          <w:rFonts w:hint="eastAsia" w:asciiTheme="minorEastAsia" w:hAnsiTheme="minorEastAsia" w:eastAsiaTheme="minorEastAsia" w:cstheme="minorEastAsia"/>
          <w:color w:val="000000"/>
          <w:sz w:val="21"/>
          <w:szCs w:val="21"/>
          <w:highlight w:val="none"/>
        </w:rPr>
        <w:t>中规定</w:t>
      </w:r>
      <w:r>
        <w:rPr>
          <w:rFonts w:hint="eastAsia" w:ascii="宋体" w:hAnsi="宋体" w:eastAsia="宋体" w:cs="宋体"/>
          <w:b w:val="0"/>
          <w:bCs/>
          <w:kern w:val="2"/>
          <w:sz w:val="21"/>
          <w:szCs w:val="21"/>
          <w:lang w:val="en-US" w:eastAsia="zh-CN" w:bidi="ar"/>
        </w:rPr>
        <w:t>力学性能</w:t>
      </w:r>
      <w:r>
        <w:rPr>
          <w:rFonts w:hint="eastAsia" w:asciiTheme="minorEastAsia" w:hAnsiTheme="minorEastAsia" w:eastAsiaTheme="minorEastAsia" w:cstheme="minorEastAsia"/>
          <w:color w:val="000000"/>
          <w:sz w:val="21"/>
          <w:szCs w:val="21"/>
          <w:highlight w:val="none"/>
        </w:rPr>
        <w:t xml:space="preserve">项目及球化率等。检测费和送检费由供货方承担,或在货款中扣除。如首次检测不合格，则重新在该批次产品中加倍采样进行复检。如复检仍不合格，则视该批次产品全部不合格，除无偿更换该批次产品外，由此产生的工程延误等各项损失由供货方进行赔偿,并按该批次产品货款的1倍向采购方赔偿。如供货方拒不履行赔偿责任，则扣除全部履约保证金及质保金，并解除合同，今后不允许参与采购方组织的招标活动。 </w:t>
      </w:r>
    </w:p>
    <w:p>
      <w:pPr>
        <w:spacing w:line="360" w:lineRule="auto"/>
        <w:ind w:left="240" w:leftChars="100" w:right="154" w:rightChars="64" w:firstLine="239" w:firstLineChars="114"/>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（2）</w:t>
      </w:r>
      <w:r>
        <w:rPr>
          <w:rFonts w:hint="eastAsia" w:ascii="宋体" w:hAnsi="宋体" w:eastAsia="宋体" w:cs="宋体"/>
          <w:sz w:val="21"/>
          <w:szCs w:val="21"/>
          <w:highlight w:val="none"/>
        </w:rPr>
        <w:t>橡胶密封件</w:t>
      </w:r>
      <w:r>
        <w:rPr>
          <w:rFonts w:hint="eastAsia" w:asciiTheme="minorEastAsia" w:hAnsiTheme="minorEastAsia" w:eastAsiaTheme="minorEastAsia" w:cstheme="minorEastAsia"/>
          <w:color w:val="000000"/>
          <w:sz w:val="21"/>
          <w:szCs w:val="21"/>
          <w:highlight w:val="none"/>
        </w:rPr>
        <w:t>同样的方式进行抽检和复检。</w:t>
      </w:r>
    </w:p>
    <w:p>
      <w:pPr>
        <w:pStyle w:val="98"/>
        <w:keepLines w:val="0"/>
        <w:pageBreakBefore w:val="0"/>
        <w:kinsoku/>
        <w:wordWrap/>
        <w:overflowPunct/>
        <w:topLinePunct w:val="0"/>
        <w:autoSpaceDE/>
        <w:autoSpaceDN/>
        <w:bidi w:val="0"/>
        <w:spacing w:before="0" w:beforeAutospacing="0" w:after="0" w:afterAutospacing="0" w:line="360" w:lineRule="auto"/>
        <w:ind w:left="240" w:leftChars="100" w:right="154" w:rightChars="64" w:firstLine="240" w:firstLineChars="114"/>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lang w:val="en-US" w:eastAsia="zh-CN"/>
        </w:rPr>
        <w:t>五</w:t>
      </w:r>
      <w:r>
        <w:rPr>
          <w:rFonts w:hint="eastAsia" w:asciiTheme="minorEastAsia" w:hAnsiTheme="minorEastAsia" w:eastAsiaTheme="minorEastAsia" w:cstheme="minorEastAsia"/>
          <w:b/>
          <w:bCs/>
          <w:sz w:val="21"/>
          <w:szCs w:val="21"/>
          <w:highlight w:val="none"/>
        </w:rPr>
        <w:t>、组成本合同的有关文件</w:t>
      </w:r>
    </w:p>
    <w:p>
      <w:pPr>
        <w:pStyle w:val="98"/>
        <w:keepLines w:val="0"/>
        <w:pageBreakBefore w:val="0"/>
        <w:kinsoku/>
        <w:wordWrap/>
        <w:overflowPunct/>
        <w:topLinePunct w:val="0"/>
        <w:autoSpaceDE/>
        <w:autoSpaceDN/>
        <w:bidi w:val="0"/>
        <w:spacing w:before="0" w:beforeAutospacing="0" w:after="0" w:afterAutospacing="0" w:line="360" w:lineRule="auto"/>
        <w:ind w:left="240" w:leftChars="100" w:right="154" w:rightChars="64" w:firstLine="239" w:firstLineChars="114"/>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下列文件构成本合同的组成部分，应该认为是一个整体，彼此相互解释，相互补充。</w:t>
      </w:r>
    </w:p>
    <w:p>
      <w:pPr>
        <w:pStyle w:val="98"/>
        <w:keepLines w:val="0"/>
        <w:pageBreakBefore w:val="0"/>
        <w:kinsoku/>
        <w:wordWrap/>
        <w:overflowPunct/>
        <w:topLinePunct w:val="0"/>
        <w:autoSpaceDE/>
        <w:autoSpaceDN/>
        <w:bidi w:val="0"/>
        <w:spacing w:before="0" w:beforeAutospacing="0" w:after="0" w:afterAutospacing="0" w:line="360" w:lineRule="auto"/>
        <w:ind w:left="240" w:leftChars="100" w:right="154" w:rightChars="64" w:firstLine="239" w:firstLineChars="114"/>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组成合同的多个文件的优先支配地位的次序如下：</w:t>
      </w:r>
    </w:p>
    <w:p>
      <w:pPr>
        <w:pStyle w:val="98"/>
        <w:keepLines w:val="0"/>
        <w:pageBreakBefore w:val="0"/>
        <w:kinsoku/>
        <w:wordWrap/>
        <w:overflowPunct/>
        <w:topLinePunct w:val="0"/>
        <w:autoSpaceDE/>
        <w:autoSpaceDN/>
        <w:bidi w:val="0"/>
        <w:spacing w:before="0" w:beforeAutospacing="0" w:after="0" w:afterAutospacing="0" w:line="360" w:lineRule="auto"/>
        <w:ind w:left="240" w:leftChars="100" w:right="154" w:rightChars="64" w:firstLine="239" w:firstLineChars="114"/>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本合同书　</w:t>
      </w:r>
    </w:p>
    <w:p>
      <w:pPr>
        <w:pStyle w:val="98"/>
        <w:keepLines w:val="0"/>
        <w:pageBreakBefore w:val="0"/>
        <w:kinsoku/>
        <w:wordWrap/>
        <w:overflowPunct/>
        <w:topLinePunct w:val="0"/>
        <w:autoSpaceDE/>
        <w:autoSpaceDN/>
        <w:bidi w:val="0"/>
        <w:spacing w:before="0" w:beforeAutospacing="0" w:after="0" w:afterAutospacing="0" w:line="360" w:lineRule="auto"/>
        <w:ind w:left="240" w:leftChars="100" w:right="154" w:rightChars="64" w:firstLine="239" w:firstLineChars="114"/>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中标通知书</w:t>
      </w:r>
      <w:r>
        <w:rPr>
          <w:rFonts w:hint="eastAsia" w:asciiTheme="minorEastAsia" w:hAnsiTheme="minorEastAsia" w:eastAsiaTheme="minorEastAsia" w:cstheme="minorEastAsia"/>
          <w:sz w:val="21"/>
          <w:szCs w:val="21"/>
          <w:highlight w:val="none"/>
        </w:rPr>
        <w:tab/>
      </w:r>
    </w:p>
    <w:p>
      <w:pPr>
        <w:pStyle w:val="98"/>
        <w:keepLines w:val="0"/>
        <w:pageBreakBefore w:val="0"/>
        <w:kinsoku/>
        <w:wordWrap/>
        <w:overflowPunct/>
        <w:topLinePunct w:val="0"/>
        <w:autoSpaceDE/>
        <w:autoSpaceDN/>
        <w:bidi w:val="0"/>
        <w:spacing w:before="0" w:beforeAutospacing="0" w:after="0" w:afterAutospacing="0" w:line="360" w:lineRule="auto"/>
        <w:ind w:left="240" w:leftChars="100" w:right="154" w:rightChars="64" w:firstLine="239" w:firstLineChars="114"/>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中标人澄清修改文件</w:t>
      </w:r>
    </w:p>
    <w:p>
      <w:pPr>
        <w:pStyle w:val="98"/>
        <w:keepLines w:val="0"/>
        <w:pageBreakBefore w:val="0"/>
        <w:kinsoku/>
        <w:wordWrap/>
        <w:overflowPunct/>
        <w:topLinePunct w:val="0"/>
        <w:autoSpaceDE/>
        <w:autoSpaceDN/>
        <w:bidi w:val="0"/>
        <w:spacing w:before="0" w:beforeAutospacing="0" w:after="0" w:afterAutospacing="0" w:line="360" w:lineRule="auto"/>
        <w:ind w:left="240" w:leftChars="100" w:right="154" w:rightChars="64" w:firstLine="239" w:firstLineChars="114"/>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中标人响应文件</w:t>
      </w:r>
    </w:p>
    <w:p>
      <w:pPr>
        <w:pStyle w:val="98"/>
        <w:keepLines w:val="0"/>
        <w:pageBreakBefore w:val="0"/>
        <w:kinsoku/>
        <w:wordWrap/>
        <w:overflowPunct/>
        <w:topLinePunct w:val="0"/>
        <w:autoSpaceDE/>
        <w:autoSpaceDN/>
        <w:bidi w:val="0"/>
        <w:spacing w:before="0" w:beforeAutospacing="0" w:after="0" w:afterAutospacing="0" w:line="360" w:lineRule="auto"/>
        <w:ind w:left="240" w:leftChars="100" w:right="154" w:rightChars="64" w:firstLine="239" w:firstLineChars="114"/>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招标文件澄清修改文件</w:t>
      </w:r>
    </w:p>
    <w:p>
      <w:pPr>
        <w:pStyle w:val="98"/>
        <w:keepLines w:val="0"/>
        <w:pageBreakBefore w:val="0"/>
        <w:kinsoku/>
        <w:wordWrap/>
        <w:overflowPunct/>
        <w:topLinePunct w:val="0"/>
        <w:autoSpaceDE/>
        <w:autoSpaceDN/>
        <w:bidi w:val="0"/>
        <w:spacing w:before="0" w:beforeAutospacing="0" w:after="0" w:afterAutospacing="0" w:line="360" w:lineRule="auto"/>
        <w:ind w:left="240" w:leftChars="100" w:right="154" w:rightChars="64" w:firstLine="239" w:firstLineChars="114"/>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招标文件</w:t>
      </w:r>
    </w:p>
    <w:p>
      <w:pPr>
        <w:pStyle w:val="98"/>
        <w:keepLines w:val="0"/>
        <w:pageBreakBefore w:val="0"/>
        <w:kinsoku/>
        <w:wordWrap/>
        <w:overflowPunct/>
        <w:topLinePunct w:val="0"/>
        <w:autoSpaceDE/>
        <w:autoSpaceDN/>
        <w:bidi w:val="0"/>
        <w:spacing w:before="0" w:beforeAutospacing="0" w:after="0" w:afterAutospacing="0" w:line="360" w:lineRule="auto"/>
        <w:ind w:left="240" w:leftChars="100" w:right="154" w:rightChars="64" w:firstLine="239" w:firstLineChars="114"/>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标准、规范及有关技术文件、技术要求</w:t>
      </w:r>
      <w:r>
        <w:rPr>
          <w:rFonts w:hint="eastAsia" w:asciiTheme="minorEastAsia" w:hAnsiTheme="minorEastAsia" w:eastAsiaTheme="minorEastAsia" w:cstheme="minorEastAsia"/>
          <w:sz w:val="21"/>
          <w:szCs w:val="21"/>
          <w:highlight w:val="none"/>
        </w:rPr>
        <w:tab/>
      </w:r>
      <w:r>
        <w:rPr>
          <w:rFonts w:hint="eastAsia" w:asciiTheme="minorEastAsia" w:hAnsiTheme="minorEastAsia" w:eastAsiaTheme="minorEastAsia" w:cstheme="minorEastAsia"/>
          <w:sz w:val="21"/>
          <w:szCs w:val="21"/>
          <w:highlight w:val="none"/>
        </w:rPr>
        <w:tab/>
      </w:r>
    </w:p>
    <w:p>
      <w:pPr>
        <w:pStyle w:val="98"/>
        <w:keepLines w:val="0"/>
        <w:pageBreakBefore w:val="0"/>
        <w:kinsoku/>
        <w:wordWrap/>
        <w:overflowPunct/>
        <w:topLinePunct w:val="0"/>
        <w:autoSpaceDE/>
        <w:autoSpaceDN/>
        <w:bidi w:val="0"/>
        <w:spacing w:before="0" w:beforeAutospacing="0" w:after="0" w:afterAutospacing="0" w:line="360" w:lineRule="auto"/>
        <w:ind w:left="240" w:leftChars="100" w:right="154" w:rightChars="64" w:firstLine="240" w:firstLineChars="114"/>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lang w:val="en-US" w:eastAsia="zh-CN"/>
        </w:rPr>
        <w:t>六</w:t>
      </w:r>
      <w:r>
        <w:rPr>
          <w:rFonts w:hint="eastAsia" w:asciiTheme="minorEastAsia" w:hAnsiTheme="minorEastAsia" w:eastAsiaTheme="minorEastAsia" w:cstheme="minorEastAsia"/>
          <w:b/>
          <w:bCs/>
          <w:sz w:val="21"/>
          <w:szCs w:val="21"/>
          <w:highlight w:val="none"/>
        </w:rPr>
        <w:t>、</w:t>
      </w:r>
      <w:r>
        <w:rPr>
          <w:rFonts w:hint="eastAsia" w:asciiTheme="minorEastAsia" w:hAnsiTheme="minorEastAsia" w:eastAsiaTheme="minorEastAsia" w:cstheme="minorEastAsia"/>
          <w:b/>
          <w:bCs/>
          <w:sz w:val="21"/>
          <w:szCs w:val="21"/>
          <w:highlight w:val="none"/>
          <w:lang w:eastAsia="zh-CN"/>
        </w:rPr>
        <w:t>服务要求</w:t>
      </w:r>
    </w:p>
    <w:p>
      <w:pPr>
        <w:keepNext w:val="0"/>
        <w:keepLines w:val="0"/>
        <w:pageBreakBefore w:val="0"/>
        <w:kinsoku/>
        <w:wordWrap/>
        <w:overflowPunct/>
        <w:topLinePunct w:val="0"/>
        <w:autoSpaceDE/>
        <w:autoSpaceDN/>
        <w:bidi w:val="0"/>
        <w:adjustRightInd w:val="0"/>
        <w:snapToGrid w:val="0"/>
        <w:spacing w:line="360" w:lineRule="auto"/>
        <w:ind w:left="240" w:leftChars="100" w:right="154" w:rightChars="64" w:firstLine="239" w:firstLineChars="114"/>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1、</w:t>
      </w:r>
      <w:r>
        <w:rPr>
          <w:rFonts w:hint="eastAsia" w:asciiTheme="minorEastAsia" w:hAnsiTheme="minorEastAsia" w:eastAsiaTheme="minorEastAsia" w:cstheme="minorEastAsia"/>
          <w:color w:val="000000"/>
          <w:sz w:val="21"/>
          <w:szCs w:val="21"/>
          <w:highlight w:val="none"/>
          <w:lang w:eastAsia="zh-CN"/>
        </w:rPr>
        <w:t>乙方</w:t>
      </w:r>
      <w:r>
        <w:rPr>
          <w:rFonts w:hint="eastAsia" w:asciiTheme="minorEastAsia" w:hAnsiTheme="minorEastAsia" w:eastAsiaTheme="minorEastAsia" w:cstheme="minorEastAsia"/>
          <w:color w:val="000000"/>
          <w:sz w:val="21"/>
          <w:szCs w:val="21"/>
          <w:highlight w:val="none"/>
        </w:rPr>
        <w:t>需向采购机构提供招标文件中的货物名称、规格型号、技术要求、质量要求、数量、交货办法和售后服务的承诺。</w:t>
      </w:r>
    </w:p>
    <w:p>
      <w:pPr>
        <w:keepNext w:val="0"/>
        <w:keepLines w:val="0"/>
        <w:pageBreakBefore w:val="0"/>
        <w:kinsoku/>
        <w:wordWrap/>
        <w:overflowPunct/>
        <w:topLinePunct w:val="0"/>
        <w:autoSpaceDE/>
        <w:autoSpaceDN/>
        <w:bidi w:val="0"/>
        <w:adjustRightInd w:val="0"/>
        <w:snapToGrid w:val="0"/>
        <w:spacing w:line="360" w:lineRule="auto"/>
        <w:ind w:left="240" w:leftChars="100" w:right="154" w:rightChars="64" w:firstLine="239" w:firstLineChars="114"/>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2、</w:t>
      </w:r>
      <w:r>
        <w:rPr>
          <w:rFonts w:hint="eastAsia" w:asciiTheme="minorEastAsia" w:hAnsiTheme="minorEastAsia" w:eastAsiaTheme="minorEastAsia" w:cstheme="minorEastAsia"/>
          <w:color w:val="000000"/>
          <w:sz w:val="21"/>
          <w:szCs w:val="21"/>
          <w:highlight w:val="none"/>
          <w:lang w:eastAsia="zh-CN"/>
        </w:rPr>
        <w:t>乙方</w:t>
      </w:r>
      <w:r>
        <w:rPr>
          <w:rFonts w:hint="eastAsia" w:asciiTheme="minorEastAsia" w:hAnsiTheme="minorEastAsia" w:eastAsiaTheme="minorEastAsia" w:cstheme="minorEastAsia"/>
          <w:color w:val="000000"/>
          <w:sz w:val="21"/>
          <w:szCs w:val="21"/>
          <w:highlight w:val="none"/>
        </w:rPr>
        <w:t>应向</w:t>
      </w:r>
      <w:r>
        <w:rPr>
          <w:rFonts w:hint="eastAsia" w:asciiTheme="minorEastAsia" w:hAnsiTheme="minorEastAsia" w:eastAsiaTheme="minorEastAsia" w:cstheme="minorEastAsia"/>
          <w:color w:val="000000"/>
          <w:sz w:val="21"/>
          <w:szCs w:val="21"/>
          <w:highlight w:val="none"/>
          <w:lang w:eastAsia="zh-CN"/>
        </w:rPr>
        <w:t>甲方</w:t>
      </w:r>
      <w:r>
        <w:rPr>
          <w:rFonts w:hint="eastAsia" w:asciiTheme="minorEastAsia" w:hAnsiTheme="minorEastAsia" w:eastAsiaTheme="minorEastAsia" w:cstheme="minorEastAsia"/>
          <w:color w:val="000000"/>
          <w:sz w:val="21"/>
          <w:szCs w:val="21"/>
          <w:highlight w:val="none"/>
        </w:rPr>
        <w:t>提供产品的有关技术资料。</w:t>
      </w:r>
    </w:p>
    <w:p>
      <w:pPr>
        <w:keepNext w:val="0"/>
        <w:keepLines w:val="0"/>
        <w:pageBreakBefore w:val="0"/>
        <w:kinsoku/>
        <w:wordWrap/>
        <w:overflowPunct/>
        <w:topLinePunct w:val="0"/>
        <w:autoSpaceDE/>
        <w:autoSpaceDN/>
        <w:bidi w:val="0"/>
        <w:adjustRightInd w:val="0"/>
        <w:snapToGrid w:val="0"/>
        <w:spacing w:line="360" w:lineRule="auto"/>
        <w:ind w:left="240" w:leftChars="100" w:right="154" w:rightChars="64" w:firstLine="239" w:firstLineChars="114"/>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3、</w:t>
      </w:r>
      <w:r>
        <w:rPr>
          <w:rFonts w:hint="eastAsia" w:asciiTheme="minorEastAsia" w:hAnsiTheme="minorEastAsia" w:eastAsiaTheme="minorEastAsia" w:cstheme="minorEastAsia"/>
          <w:color w:val="000000"/>
          <w:sz w:val="21"/>
          <w:szCs w:val="21"/>
          <w:highlight w:val="none"/>
          <w:lang w:eastAsia="zh-CN"/>
        </w:rPr>
        <w:t>乙方</w:t>
      </w:r>
      <w:r>
        <w:rPr>
          <w:rFonts w:hint="eastAsia" w:asciiTheme="minorEastAsia" w:hAnsiTheme="minorEastAsia" w:eastAsiaTheme="minorEastAsia" w:cstheme="minorEastAsia"/>
          <w:color w:val="000000"/>
          <w:sz w:val="21"/>
          <w:szCs w:val="21"/>
          <w:highlight w:val="none"/>
        </w:rPr>
        <w:t>应负责采购货物的运输、装卸，运达</w:t>
      </w:r>
      <w:r>
        <w:rPr>
          <w:rFonts w:hint="eastAsia" w:asciiTheme="minorEastAsia" w:hAnsiTheme="minorEastAsia" w:eastAsiaTheme="minorEastAsia" w:cstheme="minorEastAsia"/>
          <w:color w:val="000000"/>
          <w:sz w:val="21"/>
          <w:szCs w:val="21"/>
          <w:highlight w:val="none"/>
          <w:lang w:eastAsia="zh-CN"/>
        </w:rPr>
        <w:t>甲方</w:t>
      </w:r>
      <w:r>
        <w:rPr>
          <w:rFonts w:hint="eastAsia" w:asciiTheme="minorEastAsia" w:hAnsiTheme="minorEastAsia" w:eastAsiaTheme="minorEastAsia" w:cstheme="minorEastAsia"/>
          <w:color w:val="000000"/>
          <w:sz w:val="21"/>
          <w:szCs w:val="21"/>
          <w:highlight w:val="none"/>
        </w:rPr>
        <w:t>指定的项目施工场地（小车能到的地方），并不收任何费用。</w:t>
      </w:r>
    </w:p>
    <w:p>
      <w:pPr>
        <w:keepNext w:val="0"/>
        <w:keepLines w:val="0"/>
        <w:pageBreakBefore w:val="0"/>
        <w:kinsoku/>
        <w:wordWrap/>
        <w:overflowPunct/>
        <w:topLinePunct w:val="0"/>
        <w:autoSpaceDE/>
        <w:autoSpaceDN/>
        <w:bidi w:val="0"/>
        <w:adjustRightInd w:val="0"/>
        <w:snapToGrid w:val="0"/>
        <w:spacing w:line="360" w:lineRule="auto"/>
        <w:ind w:left="240" w:leftChars="100" w:right="154" w:rightChars="64" w:firstLine="239" w:firstLineChars="114"/>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4、</w:t>
      </w:r>
      <w:r>
        <w:rPr>
          <w:rFonts w:hint="eastAsia" w:asciiTheme="minorEastAsia" w:hAnsiTheme="minorEastAsia" w:eastAsiaTheme="minorEastAsia" w:cstheme="minorEastAsia"/>
          <w:color w:val="000000"/>
          <w:sz w:val="21"/>
          <w:szCs w:val="21"/>
          <w:highlight w:val="none"/>
          <w:lang w:eastAsia="zh-CN"/>
        </w:rPr>
        <w:t>乙方</w:t>
      </w:r>
      <w:r>
        <w:rPr>
          <w:rFonts w:hint="eastAsia" w:asciiTheme="minorEastAsia" w:hAnsiTheme="minorEastAsia" w:eastAsiaTheme="minorEastAsia" w:cstheme="minorEastAsia"/>
          <w:color w:val="000000"/>
          <w:sz w:val="21"/>
          <w:szCs w:val="21"/>
          <w:highlight w:val="none"/>
        </w:rPr>
        <w:t>在接到</w:t>
      </w:r>
      <w:r>
        <w:rPr>
          <w:rFonts w:hint="eastAsia" w:asciiTheme="minorEastAsia" w:hAnsiTheme="minorEastAsia" w:eastAsiaTheme="minorEastAsia" w:cstheme="minorEastAsia"/>
          <w:color w:val="000000"/>
          <w:sz w:val="21"/>
          <w:szCs w:val="21"/>
          <w:highlight w:val="none"/>
          <w:lang w:eastAsia="zh-CN"/>
        </w:rPr>
        <w:t>甲方</w:t>
      </w:r>
      <w:r>
        <w:rPr>
          <w:rFonts w:hint="eastAsia" w:asciiTheme="minorEastAsia" w:hAnsiTheme="minorEastAsia" w:eastAsiaTheme="minorEastAsia" w:cstheme="minorEastAsia"/>
          <w:color w:val="000000"/>
          <w:sz w:val="21"/>
          <w:szCs w:val="21"/>
          <w:highlight w:val="none"/>
        </w:rPr>
        <w:t>发货通知后，24小时立即作出回应，并保证在</w:t>
      </w:r>
      <w:r>
        <w:rPr>
          <w:rFonts w:hint="eastAsia" w:asciiTheme="minorEastAsia" w:hAnsiTheme="minorEastAsia" w:eastAsiaTheme="minorEastAsia" w:cstheme="minorEastAsia"/>
          <w:color w:val="000000"/>
          <w:sz w:val="21"/>
          <w:szCs w:val="21"/>
          <w:highlight w:val="none"/>
          <w:lang w:val="en-US" w:eastAsia="zh-CN"/>
        </w:rPr>
        <w:t>7天</w:t>
      </w:r>
      <w:r>
        <w:rPr>
          <w:rFonts w:hint="eastAsia" w:asciiTheme="minorEastAsia" w:hAnsiTheme="minorEastAsia" w:eastAsiaTheme="minorEastAsia" w:cstheme="minorEastAsia"/>
          <w:color w:val="000000"/>
          <w:sz w:val="21"/>
          <w:szCs w:val="21"/>
          <w:highlight w:val="none"/>
        </w:rPr>
        <w:t>内将货物运达指定场地。</w:t>
      </w:r>
    </w:p>
    <w:p>
      <w:pPr>
        <w:pStyle w:val="4"/>
        <w:keepLines w:val="0"/>
        <w:pageBreakBefore w:val="0"/>
        <w:kinsoku/>
        <w:wordWrap/>
        <w:overflowPunct/>
        <w:topLinePunct w:val="0"/>
        <w:bidi w:val="0"/>
        <w:spacing w:line="360" w:lineRule="auto"/>
        <w:ind w:left="240" w:leftChars="100" w:right="154" w:rightChars="64" w:firstLine="240" w:firstLineChars="114"/>
        <w:jc w:val="both"/>
        <w:rPr>
          <w:rFonts w:hint="eastAsia" w:asciiTheme="minorEastAsia" w:hAnsiTheme="minorEastAsia" w:eastAsiaTheme="minorEastAsia" w:cstheme="minorEastAsia"/>
          <w:b/>
          <w:bCs/>
          <w:sz w:val="21"/>
          <w:szCs w:val="21"/>
          <w:highlight w:val="none"/>
          <w:lang w:eastAsia="zh-CN"/>
        </w:rPr>
      </w:pPr>
      <w:bookmarkStart w:id="319" w:name="_Toc481"/>
      <w:bookmarkStart w:id="320" w:name="_Toc12987"/>
      <w:r>
        <w:rPr>
          <w:rFonts w:hint="eastAsia" w:asciiTheme="minorEastAsia" w:hAnsiTheme="minorEastAsia" w:eastAsiaTheme="minorEastAsia" w:cstheme="minorEastAsia"/>
          <w:b/>
          <w:bCs/>
          <w:sz w:val="21"/>
          <w:szCs w:val="21"/>
          <w:highlight w:val="none"/>
          <w:lang w:val="en-US" w:eastAsia="zh-CN"/>
        </w:rPr>
        <w:t>七</w:t>
      </w:r>
      <w:r>
        <w:rPr>
          <w:rFonts w:hint="eastAsia" w:asciiTheme="minorEastAsia" w:hAnsiTheme="minorEastAsia" w:eastAsiaTheme="minorEastAsia" w:cstheme="minorEastAsia"/>
          <w:b/>
          <w:bCs/>
          <w:sz w:val="21"/>
          <w:szCs w:val="21"/>
          <w:highlight w:val="none"/>
        </w:rPr>
        <w:t>、</w:t>
      </w:r>
      <w:r>
        <w:rPr>
          <w:rFonts w:hint="eastAsia" w:asciiTheme="minorEastAsia" w:hAnsiTheme="minorEastAsia" w:eastAsiaTheme="minorEastAsia" w:cstheme="minorEastAsia"/>
          <w:b/>
          <w:bCs/>
          <w:sz w:val="21"/>
          <w:szCs w:val="21"/>
          <w:highlight w:val="none"/>
          <w:lang w:eastAsia="zh-CN"/>
        </w:rPr>
        <w:t>履约保证金</w:t>
      </w:r>
      <w:bookmarkEnd w:id="319"/>
      <w:bookmarkEnd w:id="320"/>
    </w:p>
    <w:p>
      <w:pPr>
        <w:keepLines w:val="0"/>
        <w:pageBreakBefore w:val="0"/>
        <w:kinsoku/>
        <w:wordWrap/>
        <w:overflowPunct/>
        <w:topLinePunct w:val="0"/>
        <w:autoSpaceDE/>
        <w:autoSpaceDN/>
        <w:bidi w:val="0"/>
        <w:snapToGrid w:val="0"/>
        <w:spacing w:line="360" w:lineRule="auto"/>
        <w:ind w:left="240" w:leftChars="100" w:right="154" w:rightChars="64" w:firstLine="239" w:firstLineChars="114"/>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中标通知书发出后签订合同前乙方向甲方交纳合同价的1.0%作为履约保证金，</w:t>
      </w:r>
      <w:r>
        <w:rPr>
          <w:rFonts w:hint="eastAsia" w:ascii="宋体" w:hAnsi="宋体" w:eastAsia="宋体" w:cs="宋体"/>
          <w:bCs/>
          <w:kern w:val="2"/>
          <w:sz w:val="21"/>
          <w:szCs w:val="21"/>
          <w:u w:val="none"/>
          <w:lang w:val="en-US" w:eastAsia="zh-CN" w:bidi="ar"/>
        </w:rPr>
        <w:t>计</w:t>
      </w:r>
      <w:r>
        <w:rPr>
          <w:rFonts w:hint="eastAsia" w:ascii="宋体" w:hAnsi="宋体" w:eastAsia="宋体" w:cs="宋体"/>
          <w:bCs/>
          <w:kern w:val="2"/>
          <w:sz w:val="21"/>
          <w:szCs w:val="21"/>
          <w:u w:val="single"/>
          <w:lang w:val="en-US" w:eastAsia="zh-CN" w:bidi="ar"/>
        </w:rPr>
        <w:t>2900</w:t>
      </w:r>
      <w:r>
        <w:rPr>
          <w:rFonts w:hint="eastAsia" w:ascii="宋体" w:hAnsi="宋体" w:eastAsia="宋体" w:cs="宋体"/>
          <w:bCs/>
          <w:kern w:val="2"/>
          <w:sz w:val="21"/>
          <w:szCs w:val="21"/>
          <w:u w:val="none"/>
          <w:lang w:val="en-US" w:eastAsia="zh-CN" w:bidi="ar"/>
        </w:rPr>
        <w:t>元</w:t>
      </w:r>
      <w:r>
        <w:rPr>
          <w:rFonts w:hint="eastAsia" w:asciiTheme="minorEastAsia" w:hAnsiTheme="minorEastAsia" w:eastAsiaTheme="minorEastAsia" w:cstheme="minorEastAsia"/>
          <w:sz w:val="21"/>
          <w:szCs w:val="21"/>
          <w:highlight w:val="none"/>
          <w:lang w:val="en-US" w:eastAsia="zh-CN"/>
        </w:rPr>
        <w:t>。</w:t>
      </w:r>
    </w:p>
    <w:p>
      <w:pPr>
        <w:keepLines w:val="0"/>
        <w:pageBreakBefore w:val="0"/>
        <w:kinsoku/>
        <w:wordWrap/>
        <w:overflowPunct/>
        <w:topLinePunct w:val="0"/>
        <w:autoSpaceDE/>
        <w:autoSpaceDN/>
        <w:bidi w:val="0"/>
        <w:snapToGrid w:val="0"/>
        <w:spacing w:line="360" w:lineRule="auto"/>
        <w:ind w:left="240" w:leftChars="100" w:right="154" w:rightChars="64" w:firstLine="239" w:firstLineChars="114"/>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对于不符合投标要求的产品，甲方有权</w:t>
      </w:r>
      <w:r>
        <w:rPr>
          <w:rFonts w:hint="eastAsia" w:asciiTheme="minorEastAsia" w:hAnsiTheme="minorEastAsia" w:eastAsiaTheme="minorEastAsia" w:cstheme="minorEastAsia"/>
          <w:sz w:val="21"/>
          <w:szCs w:val="21"/>
          <w:highlight w:val="none"/>
          <w:lang w:val="en-US" w:eastAsia="zh-Hans"/>
        </w:rPr>
        <w:t>解除</w:t>
      </w:r>
      <w:r>
        <w:rPr>
          <w:rFonts w:hint="eastAsia" w:asciiTheme="minorEastAsia" w:hAnsiTheme="minorEastAsia" w:eastAsiaTheme="minorEastAsia" w:cstheme="minorEastAsia"/>
          <w:sz w:val="21"/>
          <w:szCs w:val="21"/>
          <w:highlight w:val="none"/>
          <w:lang w:val="en-US" w:eastAsia="zh-CN"/>
        </w:rPr>
        <w:t>合同，并</w:t>
      </w:r>
      <w:r>
        <w:rPr>
          <w:rFonts w:hint="eastAsia" w:asciiTheme="minorEastAsia" w:hAnsiTheme="minorEastAsia" w:eastAsiaTheme="minorEastAsia" w:cstheme="minorEastAsia"/>
          <w:sz w:val="21"/>
          <w:szCs w:val="21"/>
          <w:highlight w:val="none"/>
          <w:lang w:val="en-US" w:eastAsia="zh-Hans"/>
        </w:rPr>
        <w:t>有权没收</w:t>
      </w:r>
      <w:r>
        <w:rPr>
          <w:rFonts w:hint="eastAsia" w:asciiTheme="minorEastAsia" w:hAnsiTheme="minorEastAsia" w:eastAsiaTheme="minorEastAsia" w:cstheme="minorEastAsia"/>
          <w:sz w:val="21"/>
          <w:szCs w:val="21"/>
          <w:highlight w:val="none"/>
          <w:lang w:val="en-US" w:eastAsia="zh-CN"/>
        </w:rPr>
        <w:t>履约保证金。</w:t>
      </w:r>
    </w:p>
    <w:p>
      <w:pPr>
        <w:pStyle w:val="5"/>
        <w:keepLines w:val="0"/>
        <w:pageBreakBefore w:val="0"/>
        <w:kinsoku/>
        <w:wordWrap/>
        <w:overflowPunct/>
        <w:topLinePunct w:val="0"/>
        <w:autoSpaceDE/>
        <w:autoSpaceDN/>
        <w:bidi w:val="0"/>
        <w:spacing w:before="0" w:after="0" w:line="360" w:lineRule="auto"/>
        <w:ind w:left="240" w:leftChars="100" w:right="154" w:rightChars="64" w:firstLine="240" w:firstLineChars="114"/>
        <w:rPr>
          <w:rFonts w:hint="eastAsia" w:asciiTheme="minorEastAsia" w:hAnsiTheme="minorEastAsia" w:eastAsiaTheme="minorEastAsia" w:cstheme="minorEastAsia"/>
          <w:sz w:val="21"/>
          <w:szCs w:val="21"/>
          <w:highlight w:val="none"/>
        </w:rPr>
      </w:pPr>
      <w:bookmarkStart w:id="321" w:name="_Toc4857"/>
      <w:bookmarkStart w:id="322" w:name="_Toc18973"/>
      <w:bookmarkStart w:id="323" w:name="_Toc4926"/>
      <w:bookmarkStart w:id="324" w:name="_Toc18633"/>
      <w:bookmarkStart w:id="325" w:name="_Toc12396"/>
      <w:bookmarkStart w:id="326" w:name="_Toc19975"/>
      <w:r>
        <w:rPr>
          <w:rFonts w:hint="eastAsia" w:asciiTheme="minorEastAsia" w:hAnsiTheme="minorEastAsia" w:eastAsiaTheme="minorEastAsia" w:cstheme="minorEastAsia"/>
          <w:bCs/>
          <w:kern w:val="2"/>
          <w:sz w:val="21"/>
          <w:szCs w:val="21"/>
          <w:highlight w:val="none"/>
          <w:lang w:val="en-US" w:eastAsia="zh-CN"/>
        </w:rPr>
        <w:t>八</w:t>
      </w:r>
      <w:r>
        <w:rPr>
          <w:rFonts w:hint="eastAsia" w:asciiTheme="minorEastAsia" w:hAnsiTheme="minorEastAsia" w:eastAsiaTheme="minorEastAsia" w:cstheme="minorEastAsia"/>
          <w:bCs/>
          <w:kern w:val="2"/>
          <w:sz w:val="21"/>
          <w:szCs w:val="21"/>
          <w:highlight w:val="none"/>
        </w:rPr>
        <w:t>、违约责任</w:t>
      </w:r>
      <w:bookmarkEnd w:id="321"/>
      <w:bookmarkEnd w:id="322"/>
      <w:bookmarkEnd w:id="323"/>
      <w:bookmarkEnd w:id="324"/>
      <w:bookmarkEnd w:id="325"/>
      <w:bookmarkEnd w:id="326"/>
    </w:p>
    <w:p>
      <w:pPr>
        <w:keepLines w:val="0"/>
        <w:pageBreakBefore w:val="0"/>
        <w:kinsoku/>
        <w:wordWrap/>
        <w:overflowPunct/>
        <w:topLinePunct w:val="0"/>
        <w:autoSpaceDE/>
        <w:autoSpaceDN/>
        <w:bidi w:val="0"/>
        <w:snapToGrid w:val="0"/>
        <w:spacing w:line="360" w:lineRule="auto"/>
        <w:ind w:left="240" w:leftChars="100" w:right="154" w:rightChars="64" w:firstLine="239" w:firstLineChars="114"/>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1、甲方无正当理由拒收货物、拒付货物款的，由甲方向乙方偿付合同总价的3%违约金。</w:t>
      </w:r>
    </w:p>
    <w:p>
      <w:pPr>
        <w:keepLines w:val="0"/>
        <w:pageBreakBefore w:val="0"/>
        <w:kinsoku/>
        <w:wordWrap/>
        <w:overflowPunct/>
        <w:topLinePunct w:val="0"/>
        <w:autoSpaceDE/>
        <w:autoSpaceDN/>
        <w:bidi w:val="0"/>
        <w:snapToGrid w:val="0"/>
        <w:spacing w:line="360" w:lineRule="auto"/>
        <w:ind w:left="240" w:leftChars="100" w:right="154" w:rightChars="64" w:firstLine="239" w:firstLineChars="114"/>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2、甲方未按合同规定的期限向乙方支付货款的，每逾期1天甲方向乙方偿付欠款总额的5‰滞纳金，但累计滞纳金总额不超过欠款总额的3%。</w:t>
      </w:r>
    </w:p>
    <w:p>
      <w:pPr>
        <w:keepLines w:val="0"/>
        <w:pageBreakBefore w:val="0"/>
        <w:kinsoku/>
        <w:wordWrap/>
        <w:overflowPunct/>
        <w:topLinePunct w:val="0"/>
        <w:autoSpaceDE/>
        <w:autoSpaceDN/>
        <w:bidi w:val="0"/>
        <w:snapToGrid w:val="0"/>
        <w:spacing w:line="360" w:lineRule="auto"/>
        <w:ind w:left="240" w:leftChars="100" w:right="154" w:rightChars="64" w:firstLine="239" w:firstLineChars="114"/>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3、如乙方不能交付货物，甲方有权</w:t>
      </w:r>
      <w:r>
        <w:rPr>
          <w:rFonts w:hint="eastAsia" w:asciiTheme="minorEastAsia" w:hAnsiTheme="minorEastAsia" w:eastAsiaTheme="minorEastAsia" w:cstheme="minorEastAsia"/>
          <w:sz w:val="21"/>
          <w:szCs w:val="21"/>
          <w:highlight w:val="none"/>
          <w:lang w:val="en-US" w:eastAsia="zh-Hans"/>
        </w:rPr>
        <w:t>没收部分直至</w:t>
      </w:r>
      <w:r>
        <w:rPr>
          <w:rFonts w:hint="eastAsia" w:asciiTheme="minorEastAsia" w:hAnsiTheme="minorEastAsia" w:eastAsiaTheme="minorEastAsia" w:cstheme="minorEastAsia"/>
          <w:sz w:val="21"/>
          <w:szCs w:val="21"/>
          <w:highlight w:val="none"/>
          <w:lang w:val="en-US" w:eastAsia="zh-CN"/>
        </w:rPr>
        <w:t>全部履约保证金；同时乙方应</w:t>
      </w:r>
      <w:r>
        <w:rPr>
          <w:rFonts w:hint="eastAsia" w:asciiTheme="minorEastAsia" w:hAnsiTheme="minorEastAsia" w:eastAsiaTheme="minorEastAsia" w:cstheme="minorEastAsia"/>
          <w:sz w:val="21"/>
          <w:szCs w:val="21"/>
          <w:highlight w:val="none"/>
          <w:lang w:val="en-US" w:eastAsia="zh-Hans"/>
        </w:rPr>
        <w:t>按签约合同</w:t>
      </w:r>
      <w:r>
        <w:rPr>
          <w:rFonts w:hint="eastAsia" w:asciiTheme="minorEastAsia" w:hAnsiTheme="minorEastAsia" w:eastAsiaTheme="minorEastAsia" w:cstheme="minorEastAsia"/>
          <w:sz w:val="21"/>
          <w:szCs w:val="21"/>
          <w:highlight w:val="none"/>
          <w:lang w:val="en-US" w:eastAsia="zh-CN"/>
        </w:rPr>
        <w:t>价3％的</w:t>
      </w:r>
      <w:r>
        <w:rPr>
          <w:rFonts w:hint="eastAsia" w:asciiTheme="minorEastAsia" w:hAnsiTheme="minorEastAsia" w:eastAsiaTheme="minorEastAsia" w:cstheme="minorEastAsia"/>
          <w:sz w:val="21"/>
          <w:szCs w:val="21"/>
          <w:highlight w:val="none"/>
          <w:lang w:val="en-US" w:eastAsia="zh-Hans"/>
        </w:rPr>
        <w:t>标准</w:t>
      </w:r>
      <w:r>
        <w:rPr>
          <w:rFonts w:hint="eastAsia" w:asciiTheme="minorEastAsia" w:hAnsiTheme="minorEastAsia" w:eastAsiaTheme="minorEastAsia" w:cstheme="minorEastAsia"/>
          <w:sz w:val="21"/>
          <w:szCs w:val="21"/>
          <w:highlight w:val="none"/>
          <w:lang w:val="en-US" w:eastAsia="zh-CN"/>
        </w:rPr>
        <w:t>向甲方支付违约金。</w:t>
      </w:r>
    </w:p>
    <w:p>
      <w:pPr>
        <w:keepLines w:val="0"/>
        <w:pageBreakBefore w:val="0"/>
        <w:kinsoku/>
        <w:wordWrap/>
        <w:overflowPunct/>
        <w:topLinePunct w:val="0"/>
        <w:autoSpaceDE/>
        <w:autoSpaceDN/>
        <w:bidi w:val="0"/>
        <w:snapToGrid w:val="0"/>
        <w:spacing w:line="360" w:lineRule="auto"/>
        <w:ind w:left="240" w:leftChars="100" w:right="154" w:rightChars="64" w:firstLine="239" w:firstLineChars="114"/>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4、乙方逾期交付货物的，每逾期1天，乙方向甲方偿付逾期交货部分货款总额的5‰的滞纳金。如乙方逾期交货达</w:t>
      </w:r>
      <w:r>
        <w:rPr>
          <w:rFonts w:hint="eastAsia" w:asciiTheme="minorEastAsia" w:hAnsiTheme="minorEastAsia" w:eastAsiaTheme="minorEastAsia" w:cstheme="minorEastAsia"/>
          <w:sz w:val="21"/>
          <w:szCs w:val="21"/>
          <w:highlight w:val="none"/>
          <w:u w:val="single"/>
          <w:lang w:val="en-US" w:eastAsia="zh-CN"/>
        </w:rPr>
        <w:t>15</w:t>
      </w:r>
      <w:r>
        <w:rPr>
          <w:rFonts w:hint="eastAsia" w:asciiTheme="minorEastAsia" w:hAnsiTheme="minorEastAsia" w:eastAsiaTheme="minorEastAsia" w:cstheme="minorEastAsia"/>
          <w:sz w:val="21"/>
          <w:szCs w:val="21"/>
          <w:highlight w:val="none"/>
          <w:lang w:val="en-US" w:eastAsia="zh-CN"/>
        </w:rPr>
        <w:t>天，甲方有权解除合同，解除合同的通知自到达乙方时生效。</w:t>
      </w:r>
    </w:p>
    <w:p>
      <w:pPr>
        <w:keepLines w:val="0"/>
        <w:pageBreakBefore w:val="0"/>
        <w:kinsoku/>
        <w:wordWrap/>
        <w:overflowPunct/>
        <w:topLinePunct w:val="0"/>
        <w:autoSpaceDE/>
        <w:autoSpaceDN/>
        <w:bidi w:val="0"/>
        <w:snapToGrid w:val="0"/>
        <w:spacing w:line="360" w:lineRule="auto"/>
        <w:ind w:left="240" w:leftChars="100" w:right="154" w:rightChars="64" w:firstLine="239" w:firstLineChars="114"/>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在履行合同过程中，如果乙方遇到不能按时交货情况，应及时以书面形式将不能按时交货的理由、预期延误时间通知甲方。甲方收到乙方通知后，认为其理由正当的，可酌情延长交货时间；不认可乙方不能按时交货理由的，按逾期交付货物处理。</w:t>
      </w:r>
    </w:p>
    <w:p>
      <w:pPr>
        <w:keepLines w:val="0"/>
        <w:pageBreakBefore w:val="0"/>
        <w:kinsoku/>
        <w:wordWrap/>
        <w:overflowPunct/>
        <w:topLinePunct w:val="0"/>
        <w:autoSpaceDE/>
        <w:autoSpaceDN/>
        <w:bidi w:val="0"/>
        <w:snapToGrid w:val="0"/>
        <w:spacing w:line="360" w:lineRule="auto"/>
        <w:ind w:left="240" w:leftChars="100" w:right="154" w:rightChars="64" w:firstLine="239" w:firstLineChars="114"/>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5、乙方所交付的货物品种、型号、规格、技术指标不符合合同规定的，甲方有权拒收。甲方拒收的，乙方应</w:t>
      </w:r>
      <w:r>
        <w:rPr>
          <w:rFonts w:hint="eastAsia" w:asciiTheme="minorEastAsia" w:hAnsiTheme="minorEastAsia" w:eastAsiaTheme="minorEastAsia" w:cstheme="minorEastAsia"/>
          <w:sz w:val="21"/>
          <w:szCs w:val="21"/>
          <w:highlight w:val="none"/>
          <w:lang w:val="en-US" w:eastAsia="zh-Hans"/>
        </w:rPr>
        <w:t>按应支付</w:t>
      </w:r>
      <w:r>
        <w:rPr>
          <w:rFonts w:hint="eastAsia" w:asciiTheme="minorEastAsia" w:hAnsiTheme="minorEastAsia" w:eastAsiaTheme="minorEastAsia" w:cstheme="minorEastAsia"/>
          <w:sz w:val="21"/>
          <w:szCs w:val="21"/>
          <w:highlight w:val="none"/>
          <w:lang w:val="en-US" w:eastAsia="zh-CN"/>
        </w:rPr>
        <w:t>货款总额3%</w:t>
      </w:r>
      <w:r>
        <w:rPr>
          <w:rFonts w:hint="eastAsia" w:asciiTheme="minorEastAsia" w:hAnsiTheme="minorEastAsia" w:eastAsiaTheme="minorEastAsia" w:cstheme="minorEastAsia"/>
          <w:sz w:val="21"/>
          <w:szCs w:val="21"/>
          <w:highlight w:val="none"/>
          <w:lang w:val="en-US" w:eastAsia="zh-Hans"/>
        </w:rPr>
        <w:t>的标准</w:t>
      </w:r>
      <w:r>
        <w:rPr>
          <w:rFonts w:hint="eastAsia" w:asciiTheme="minorEastAsia" w:hAnsiTheme="minorEastAsia" w:eastAsiaTheme="minorEastAsia" w:cstheme="minorEastAsia"/>
          <w:sz w:val="21"/>
          <w:szCs w:val="21"/>
          <w:highlight w:val="none"/>
          <w:lang w:val="en-US" w:eastAsia="zh-CN"/>
        </w:rPr>
        <w:t>甲方支付的违约金。</w:t>
      </w:r>
    </w:p>
    <w:p>
      <w:pPr>
        <w:keepLines w:val="0"/>
        <w:pageBreakBefore w:val="0"/>
        <w:kinsoku/>
        <w:wordWrap/>
        <w:overflowPunct/>
        <w:topLinePunct w:val="0"/>
        <w:autoSpaceDE/>
        <w:autoSpaceDN/>
        <w:bidi w:val="0"/>
        <w:snapToGrid w:val="0"/>
        <w:spacing w:line="360" w:lineRule="auto"/>
        <w:ind w:left="240" w:leftChars="100" w:right="154" w:rightChars="64" w:firstLine="239" w:firstLineChars="114"/>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6、在乙方承诺的或国家规定的质量保证期内（取两者中最长的期限），如经乙方两次维修或更换，货物仍不能达到合同约定的质量标准，甲方有权退货，乙方应退回全部货款，并按</w:t>
      </w:r>
      <w:r>
        <w:rPr>
          <w:rFonts w:hint="eastAsia" w:asciiTheme="minorEastAsia" w:hAnsiTheme="minorEastAsia" w:eastAsiaTheme="minorEastAsia" w:cstheme="minorEastAsia"/>
          <w:sz w:val="21"/>
          <w:szCs w:val="21"/>
          <w:highlight w:val="none"/>
          <w:lang w:val="en-US" w:eastAsia="zh-Hans"/>
        </w:rPr>
        <w:t>本条</w:t>
      </w:r>
      <w:r>
        <w:rPr>
          <w:rFonts w:hint="eastAsia" w:asciiTheme="minorEastAsia" w:hAnsiTheme="minorEastAsia" w:eastAsiaTheme="minorEastAsia" w:cstheme="minorEastAsia"/>
          <w:sz w:val="21"/>
          <w:szCs w:val="21"/>
          <w:highlight w:val="none"/>
          <w:lang w:val="en-US" w:eastAsia="zh-CN"/>
        </w:rPr>
        <w:t>第3款处理，同时，乙方还须赔偿甲方因此遭受的损失。</w:t>
      </w:r>
    </w:p>
    <w:p>
      <w:pPr>
        <w:keepLines w:val="0"/>
        <w:pageBreakBefore w:val="0"/>
        <w:kinsoku/>
        <w:wordWrap/>
        <w:overflowPunct/>
        <w:topLinePunct w:val="0"/>
        <w:autoSpaceDE/>
        <w:autoSpaceDN/>
        <w:bidi w:val="0"/>
        <w:snapToGrid w:val="0"/>
        <w:spacing w:line="360" w:lineRule="auto"/>
        <w:ind w:left="240" w:leftChars="100" w:right="154" w:rightChars="64" w:firstLine="239" w:firstLineChars="114"/>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7、乙方未按本合同的规定和“服务承诺”提供伴随服务/售后服务的，应按</w:t>
      </w:r>
      <w:r>
        <w:rPr>
          <w:rFonts w:hint="eastAsia" w:asciiTheme="minorEastAsia" w:hAnsiTheme="minorEastAsia" w:eastAsiaTheme="minorEastAsia" w:cstheme="minorEastAsia"/>
          <w:sz w:val="21"/>
          <w:szCs w:val="21"/>
          <w:highlight w:val="none"/>
          <w:lang w:val="en-US" w:eastAsia="zh-Hans"/>
        </w:rPr>
        <w:t>签约</w:t>
      </w:r>
      <w:r>
        <w:rPr>
          <w:rFonts w:hint="eastAsia" w:asciiTheme="minorEastAsia" w:hAnsiTheme="minorEastAsia" w:eastAsiaTheme="minorEastAsia" w:cstheme="minorEastAsia"/>
          <w:sz w:val="21"/>
          <w:szCs w:val="21"/>
          <w:highlight w:val="none"/>
          <w:lang w:val="en-US" w:eastAsia="zh-CN"/>
        </w:rPr>
        <w:t>合同总价款5%</w:t>
      </w:r>
      <w:r>
        <w:rPr>
          <w:rFonts w:hint="eastAsia" w:asciiTheme="minorEastAsia" w:hAnsiTheme="minorEastAsia" w:eastAsiaTheme="minorEastAsia" w:cstheme="minorEastAsia"/>
          <w:sz w:val="21"/>
          <w:szCs w:val="21"/>
          <w:highlight w:val="none"/>
          <w:lang w:val="en-US" w:eastAsia="zh-Hans"/>
        </w:rPr>
        <w:t>的边走</w:t>
      </w:r>
      <w:r>
        <w:rPr>
          <w:rFonts w:hint="eastAsia" w:asciiTheme="minorEastAsia" w:hAnsiTheme="minorEastAsia" w:eastAsiaTheme="minorEastAsia" w:cstheme="minorEastAsia"/>
          <w:sz w:val="21"/>
          <w:szCs w:val="21"/>
          <w:highlight w:val="none"/>
          <w:lang w:val="en-US" w:eastAsia="zh-CN"/>
        </w:rPr>
        <w:t>向甲方</w:t>
      </w:r>
      <w:r>
        <w:rPr>
          <w:rFonts w:hint="eastAsia" w:asciiTheme="minorEastAsia" w:hAnsiTheme="minorEastAsia" w:eastAsiaTheme="minorEastAsia" w:cstheme="minorEastAsia"/>
          <w:sz w:val="21"/>
          <w:szCs w:val="21"/>
          <w:highlight w:val="none"/>
          <w:lang w:val="en-US" w:eastAsia="zh-Hans"/>
        </w:rPr>
        <w:t>支付违约金</w:t>
      </w:r>
      <w:r>
        <w:rPr>
          <w:rFonts w:hint="eastAsia" w:asciiTheme="minorEastAsia" w:hAnsiTheme="minorEastAsia" w:eastAsiaTheme="minorEastAsia" w:cstheme="minorEastAsia"/>
          <w:sz w:val="21"/>
          <w:szCs w:val="21"/>
          <w:highlight w:val="none"/>
          <w:lang w:val="en-US" w:eastAsia="zh-CN"/>
        </w:rPr>
        <w:t>。</w:t>
      </w:r>
    </w:p>
    <w:p>
      <w:pPr>
        <w:keepLines w:val="0"/>
        <w:pageBreakBefore w:val="0"/>
        <w:kinsoku/>
        <w:wordWrap/>
        <w:overflowPunct/>
        <w:topLinePunct w:val="0"/>
        <w:autoSpaceDE/>
        <w:autoSpaceDN/>
        <w:bidi w:val="0"/>
        <w:snapToGrid w:val="0"/>
        <w:spacing w:line="360" w:lineRule="auto"/>
        <w:ind w:left="240" w:leftChars="100" w:right="154" w:rightChars="64" w:firstLine="239" w:firstLineChars="114"/>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8、乙方应保证提供服务过程中不会侵犯任何第三方的知识产权，如果任何第三方提出侵权指控，乙方须与第三方交涉并承担可能发生的一切法律责任和费用。</w:t>
      </w:r>
    </w:p>
    <w:p>
      <w:pPr>
        <w:keepLines w:val="0"/>
        <w:pageBreakBefore w:val="0"/>
        <w:kinsoku/>
        <w:wordWrap/>
        <w:overflowPunct/>
        <w:topLinePunct w:val="0"/>
        <w:autoSpaceDE/>
        <w:autoSpaceDN/>
        <w:bidi w:val="0"/>
        <w:snapToGrid w:val="0"/>
        <w:spacing w:line="360" w:lineRule="auto"/>
        <w:ind w:left="240" w:leftChars="100" w:right="154" w:rightChars="64" w:firstLine="239" w:firstLineChars="114"/>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highlight w:val="none"/>
          <w:lang w:val="en-US" w:eastAsia="zh-CN"/>
        </w:rPr>
        <w:t>9、乙方在承担上述3～8款一项或多项违约责任后，仍应继续履行合同规定的义务（甲方解除合同的除外）。甲方未能及时追究乙方的任何一项违约责任并不表明甲方放弃追究乙方该项或其他违约责任。</w:t>
      </w:r>
    </w:p>
    <w:p>
      <w:pPr>
        <w:numPr>
          <w:ilvl w:val="0"/>
          <w:numId w:val="0"/>
        </w:numPr>
        <w:overflowPunct w:val="0"/>
        <w:spacing w:line="360" w:lineRule="auto"/>
        <w:ind w:left="240" w:leftChars="100" w:right="154" w:rightChars="64" w:firstLine="240" w:firstLineChars="114"/>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九、</w:t>
      </w:r>
      <w:r>
        <w:rPr>
          <w:rFonts w:hint="eastAsia" w:asciiTheme="minorEastAsia" w:hAnsiTheme="minorEastAsia" w:eastAsiaTheme="minorEastAsia" w:cstheme="minorEastAsia"/>
          <w:b/>
          <w:sz w:val="21"/>
          <w:szCs w:val="21"/>
        </w:rPr>
        <w:t>适用法律</w:t>
      </w:r>
    </w:p>
    <w:p>
      <w:pPr>
        <w:overflowPunct w:val="0"/>
        <w:spacing w:line="360" w:lineRule="auto"/>
        <w:ind w:left="240" w:leftChars="100" w:right="154" w:rightChars="64" w:firstLine="239" w:firstLineChars="1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本合同按照《中华人民共和国民法典》及相关法律进行解释。</w:t>
      </w:r>
    </w:p>
    <w:p>
      <w:pPr>
        <w:numPr>
          <w:ilvl w:val="0"/>
          <w:numId w:val="0"/>
        </w:numPr>
        <w:overflowPunct w:val="0"/>
        <w:spacing w:line="360" w:lineRule="auto"/>
        <w:ind w:left="240" w:leftChars="100" w:right="154" w:rightChars="64" w:firstLine="240" w:firstLineChars="114"/>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十、</w:t>
      </w:r>
      <w:r>
        <w:rPr>
          <w:rFonts w:hint="eastAsia" w:asciiTheme="minorEastAsia" w:hAnsiTheme="minorEastAsia" w:eastAsiaTheme="minorEastAsia" w:cstheme="minorEastAsia"/>
          <w:b/>
          <w:sz w:val="21"/>
          <w:szCs w:val="21"/>
        </w:rPr>
        <w:t>合同附件</w:t>
      </w:r>
    </w:p>
    <w:p>
      <w:pPr>
        <w:tabs>
          <w:tab w:val="left" w:pos="900"/>
        </w:tabs>
        <w:spacing w:line="360" w:lineRule="auto"/>
        <w:ind w:left="240" w:leftChars="100" w:right="154" w:rightChars="64" w:firstLine="239" w:firstLineChars="1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下列文件与本合同具有同等法律效力：</w:t>
      </w:r>
    </w:p>
    <w:p>
      <w:pPr>
        <w:tabs>
          <w:tab w:val="left" w:pos="900"/>
        </w:tabs>
        <w:spacing w:line="360" w:lineRule="auto"/>
        <w:ind w:left="240" w:leftChars="100" w:right="154" w:rightChars="64" w:firstLine="239" w:firstLineChars="1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合同主要条款                </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合同特殊条款（如有）</w:t>
      </w:r>
    </w:p>
    <w:p>
      <w:pPr>
        <w:tabs>
          <w:tab w:val="left" w:pos="900"/>
        </w:tabs>
        <w:spacing w:line="360" w:lineRule="auto"/>
        <w:ind w:left="240" w:leftChars="100" w:right="154" w:rightChars="64" w:firstLine="239" w:firstLineChars="1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 xml:space="preserve">售后服务条款（如有）        </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中标通知书</w:t>
      </w:r>
    </w:p>
    <w:p>
      <w:pPr>
        <w:tabs>
          <w:tab w:val="left" w:pos="900"/>
        </w:tabs>
        <w:spacing w:line="360" w:lineRule="auto"/>
        <w:ind w:left="240" w:leftChars="100" w:right="154" w:rightChars="64" w:firstLine="239" w:firstLineChars="1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 xml:space="preserve">投标分项报价表              </w:t>
      </w:r>
      <w:r>
        <w:rPr>
          <w:rFonts w:hint="eastAsia" w:asciiTheme="minorEastAsia" w:hAnsiTheme="minorEastAsia" w:eastAsiaTheme="minorEastAsia" w:cstheme="minorEastAsia"/>
          <w:sz w:val="21"/>
          <w:szCs w:val="21"/>
          <w:lang w:val="en-US" w:eastAsia="zh-CN"/>
        </w:rPr>
        <w:t>6.</w:t>
      </w:r>
      <w:r>
        <w:rPr>
          <w:rFonts w:hint="eastAsia" w:asciiTheme="minorEastAsia" w:hAnsiTheme="minorEastAsia" w:eastAsiaTheme="minorEastAsia" w:cstheme="minorEastAsia"/>
          <w:sz w:val="21"/>
          <w:szCs w:val="21"/>
        </w:rPr>
        <w:t>技术规格、商务条款偏离表</w:t>
      </w:r>
    </w:p>
    <w:p>
      <w:pPr>
        <w:tabs>
          <w:tab w:val="left" w:pos="900"/>
        </w:tabs>
        <w:spacing w:line="360" w:lineRule="auto"/>
        <w:ind w:left="240" w:leftChars="100" w:right="154" w:rightChars="64" w:firstLine="239" w:firstLineChars="1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 xml:space="preserve">招标内容及要求              </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合同补充条款或说明（如有）</w:t>
      </w:r>
    </w:p>
    <w:p>
      <w:pPr>
        <w:tabs>
          <w:tab w:val="left" w:pos="900"/>
        </w:tabs>
        <w:spacing w:line="360" w:lineRule="auto"/>
        <w:ind w:left="240" w:leftChars="100" w:right="154" w:rightChars="64" w:firstLine="239" w:firstLineChars="1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 xml:space="preserve">履约保证金                  </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承诺书（含询标记录和优惠条件）</w:t>
      </w:r>
    </w:p>
    <w:p>
      <w:pPr>
        <w:numPr>
          <w:ilvl w:val="0"/>
          <w:numId w:val="0"/>
        </w:numPr>
        <w:overflowPunct w:val="0"/>
        <w:spacing w:line="360" w:lineRule="auto"/>
        <w:ind w:left="240" w:leftChars="100" w:right="154" w:rightChars="64" w:firstLine="240" w:firstLineChars="1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lang w:val="en-US" w:eastAsia="zh-CN"/>
        </w:rPr>
        <w:t>十一、</w:t>
      </w:r>
      <w:r>
        <w:rPr>
          <w:rFonts w:hint="eastAsia" w:asciiTheme="minorEastAsia" w:hAnsiTheme="minorEastAsia" w:eastAsiaTheme="minorEastAsia" w:cstheme="minorEastAsia"/>
          <w:b/>
          <w:sz w:val="21"/>
          <w:szCs w:val="21"/>
        </w:rPr>
        <w:t>合同生效及其他</w:t>
      </w:r>
    </w:p>
    <w:p>
      <w:pPr>
        <w:numPr>
          <w:ilvl w:val="0"/>
          <w:numId w:val="0"/>
        </w:numPr>
        <w:tabs>
          <w:tab w:val="left" w:pos="540"/>
        </w:tabs>
        <w:overflowPunct w:val="0"/>
        <w:spacing w:line="360" w:lineRule="auto"/>
        <w:ind w:leftChars="214" w:right="154" w:rightChars="6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合同应在双方签字盖章并在买方收到卖方提供的履约担保后开始生效。</w:t>
      </w:r>
    </w:p>
    <w:p>
      <w:pPr>
        <w:numPr>
          <w:ilvl w:val="0"/>
          <w:numId w:val="0"/>
        </w:numPr>
        <w:tabs>
          <w:tab w:val="left" w:pos="540"/>
        </w:tabs>
        <w:overflowPunct w:val="0"/>
        <w:spacing w:line="360" w:lineRule="auto"/>
        <w:ind w:leftChars="214" w:right="154" w:rightChars="6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本合同一式伍份，双方各执贰份，代理机构壹份，具有同等效力。</w:t>
      </w:r>
    </w:p>
    <w:p>
      <w:pPr>
        <w:numPr>
          <w:ilvl w:val="0"/>
          <w:numId w:val="0"/>
        </w:numPr>
        <w:tabs>
          <w:tab w:val="left" w:pos="540"/>
        </w:tabs>
        <w:overflowPunct w:val="0"/>
        <w:spacing w:line="360" w:lineRule="auto"/>
        <w:ind w:leftChars="214" w:right="154" w:rightChars="6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如需修改或补充合同内容，经协商，双方应签署书面修改或补充协议，该协议将作为本合同的一个组成部分。</w:t>
      </w:r>
    </w:p>
    <w:p>
      <w:pPr>
        <w:spacing w:line="460" w:lineRule="exact"/>
        <w:ind w:left="240" w:leftChars="100" w:right="154" w:rightChars="64" w:firstLine="240" w:firstLineChars="114"/>
        <w:rPr>
          <w:rFonts w:hint="eastAsia" w:asciiTheme="minorEastAsia" w:hAnsiTheme="minorEastAsia" w:eastAsiaTheme="minorEastAsia" w:cstheme="minorEastAsia"/>
          <w:b/>
          <w:bCs/>
          <w:sz w:val="21"/>
          <w:szCs w:val="21"/>
        </w:rPr>
      </w:pPr>
    </w:p>
    <w:p>
      <w:pPr>
        <w:spacing w:line="420" w:lineRule="exact"/>
        <w:ind w:left="240" w:leftChars="100" w:right="154" w:rightChars="64" w:firstLine="239" w:firstLineChars="1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买方：（印章）                       卖方：（印章）</w:t>
      </w:r>
    </w:p>
    <w:p>
      <w:pPr>
        <w:spacing w:line="420" w:lineRule="exact"/>
        <w:ind w:left="240" w:leftChars="100" w:right="154" w:rightChars="64" w:firstLine="239" w:firstLineChars="1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全权代表:（签字）                    全权代表:（签字）</w:t>
      </w:r>
    </w:p>
    <w:p>
      <w:pPr>
        <w:spacing w:line="420" w:lineRule="exact"/>
        <w:ind w:left="240" w:leftChars="100" w:right="154" w:rightChars="64" w:firstLine="239" w:firstLineChars="1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地址：                               地址：</w:t>
      </w:r>
    </w:p>
    <w:p>
      <w:pPr>
        <w:spacing w:line="420" w:lineRule="exact"/>
        <w:ind w:left="240" w:leftChars="100" w:right="154" w:rightChars="64" w:firstLine="239" w:firstLineChars="1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邮政编码：                           邮政编码：</w:t>
      </w:r>
    </w:p>
    <w:p>
      <w:pPr>
        <w:spacing w:line="420" w:lineRule="exact"/>
        <w:ind w:left="240" w:leftChars="100" w:right="154" w:rightChars="64" w:firstLine="239" w:firstLineChars="1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                               电话：</w:t>
      </w:r>
    </w:p>
    <w:p>
      <w:pPr>
        <w:spacing w:line="420" w:lineRule="exact"/>
        <w:ind w:left="240" w:leftChars="100" w:right="154" w:rightChars="64" w:firstLine="239" w:firstLineChars="1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传真：                               传真：</w:t>
      </w:r>
    </w:p>
    <w:p>
      <w:pPr>
        <w:spacing w:line="420" w:lineRule="exact"/>
        <w:ind w:left="240" w:leftChars="100" w:right="154" w:rightChars="64" w:firstLine="239" w:firstLineChars="1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开户银行：                           开户银行：</w:t>
      </w:r>
    </w:p>
    <w:p>
      <w:pPr>
        <w:pStyle w:val="19"/>
        <w:spacing w:line="420" w:lineRule="atLeast"/>
        <w:ind w:left="240" w:leftChars="100" w:right="154" w:rightChars="64" w:firstLine="239" w:firstLineChars="1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帐号：                               帐号：</w:t>
      </w:r>
    </w:p>
    <w:p>
      <w:pPr>
        <w:rPr>
          <w:rFonts w:hint="eastAsia" w:asciiTheme="minorEastAsia" w:hAnsiTheme="minorEastAsia" w:eastAsiaTheme="minorEastAsia" w:cstheme="minorEastAsia"/>
          <w:sz w:val="21"/>
          <w:szCs w:val="21"/>
        </w:rPr>
      </w:pPr>
    </w:p>
    <w:p>
      <w:pPr>
        <w:pStyle w:val="2"/>
        <w:rPr>
          <w:rFonts w:hint="eastAsia"/>
        </w:rPr>
      </w:pPr>
    </w:p>
    <w:p>
      <w:pPr>
        <w:spacing w:line="360" w:lineRule="auto"/>
        <w:ind w:left="240" w:leftChars="100" w:right="154" w:rightChars="64" w:firstLine="239" w:firstLineChars="1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合同鉴证方：采购代理机构（盖章）</w:t>
      </w:r>
    </w:p>
    <w:p>
      <w:pPr>
        <w:spacing w:line="360" w:lineRule="auto"/>
        <w:ind w:left="240" w:leftChars="100" w:right="154" w:rightChars="64" w:firstLine="239" w:firstLineChars="11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鉴证日期：</w:t>
      </w:r>
      <w:r>
        <w:rPr>
          <w:rFonts w:hint="eastAsia" w:asciiTheme="minorEastAsia" w:hAnsiTheme="minorEastAsia" w:eastAsiaTheme="minorEastAsia" w:cstheme="minorEastAsia"/>
          <w:sz w:val="21"/>
          <w:szCs w:val="21"/>
          <w:lang w:val="en-US" w:eastAsia="zh-CN"/>
        </w:rPr>
        <w:t>2025</w:t>
      </w:r>
      <w:r>
        <w:rPr>
          <w:rFonts w:hint="eastAsia" w:asciiTheme="minorEastAsia" w:hAnsiTheme="minorEastAsia" w:eastAsiaTheme="minorEastAsia" w:cstheme="minorEastAsia"/>
          <w:sz w:val="21"/>
          <w:szCs w:val="21"/>
        </w:rPr>
        <w:t>年   月   日</w:t>
      </w:r>
    </w:p>
    <w:p>
      <w:pPr>
        <w:pStyle w:val="2"/>
        <w:rPr>
          <w:rFonts w:hint="eastAsia"/>
        </w:rPr>
      </w:pPr>
    </w:p>
    <w:p>
      <w:pPr>
        <w:rPr>
          <w:rFonts w:hint="eastAsia"/>
        </w:rPr>
      </w:pPr>
    </w:p>
    <w:p>
      <w:pPr>
        <w:ind w:left="0" w:leftChars="0" w:firstLine="0" w:firstLineChars="0"/>
        <w:rPr>
          <w:rFonts w:hint="eastAsia"/>
        </w:rPr>
      </w:pPr>
    </w:p>
    <w:p>
      <w:pPr>
        <w:rPr>
          <w:rFonts w:hint="eastAsia" w:ascii="宋体" w:hAnsi="宋体" w:cs="宋体"/>
          <w:color w:val="000000"/>
          <w:lang w:val="zh-CN" w:eastAsia="zh-CN"/>
        </w:rPr>
      </w:pPr>
      <w:r>
        <w:rPr>
          <w:rFonts w:hint="eastAsia" w:ascii="宋体" w:hAnsi="宋体" w:cs="宋体"/>
          <w:color w:val="000000"/>
          <w:lang w:val="zh-CN" w:eastAsia="zh-CN"/>
        </w:rPr>
        <w:br w:type="page"/>
      </w:r>
    </w:p>
    <w:p>
      <w:pPr>
        <w:pStyle w:val="35"/>
        <w:spacing w:line="700" w:lineRule="exact"/>
        <w:ind w:firstLine="0" w:firstLineChars="0"/>
        <w:outlineLvl w:val="0"/>
        <w:rPr>
          <w:rFonts w:ascii="宋体" w:hAnsi="宋体" w:cs="宋体"/>
          <w:color w:val="000000"/>
          <w:lang w:val="zh-CN" w:eastAsia="zh-CN"/>
        </w:rPr>
      </w:pPr>
      <w:bookmarkStart w:id="327" w:name="OLE_LINK2"/>
      <w:r>
        <w:rPr>
          <w:rFonts w:hint="eastAsia" w:ascii="宋体" w:hAnsi="宋体" w:cs="宋体"/>
          <w:color w:val="000000"/>
          <w:lang w:val="zh-CN" w:eastAsia="zh-CN"/>
        </w:rPr>
        <w:t>第五章  评审方法及评审标准</w:t>
      </w:r>
      <w:bookmarkEnd w:id="304"/>
      <w:bookmarkEnd w:id="305"/>
      <w:bookmarkEnd w:id="306"/>
      <w:bookmarkEnd w:id="327"/>
    </w:p>
    <w:p>
      <w:pPr>
        <w:pStyle w:val="5"/>
        <w:spacing w:before="167" w:after="167"/>
        <w:ind w:firstLine="0" w:firstLineChars="0"/>
        <w:jc w:val="center"/>
        <w:rPr>
          <w:rFonts w:ascii="宋体" w:hAnsi="宋体" w:eastAsia="宋体" w:cs="宋体"/>
          <w:sz w:val="21"/>
          <w:szCs w:val="21"/>
        </w:rPr>
      </w:pPr>
      <w:bookmarkStart w:id="328" w:name="_Toc13045"/>
      <w:bookmarkStart w:id="329" w:name="_Toc936"/>
      <w:bookmarkStart w:id="330" w:name="_Toc570"/>
      <w:bookmarkStart w:id="331" w:name="_Toc28483"/>
      <w:bookmarkStart w:id="332" w:name="_Toc23367"/>
      <w:bookmarkStart w:id="333" w:name="_Toc17724"/>
      <w:bookmarkStart w:id="334" w:name="_Toc23137"/>
      <w:bookmarkStart w:id="335" w:name="_Toc359856825"/>
      <w:bookmarkStart w:id="336" w:name="_Toc29562"/>
      <w:r>
        <w:rPr>
          <w:rFonts w:hint="eastAsia" w:ascii="宋体" w:hAnsi="宋体" w:eastAsia="宋体" w:cs="宋体"/>
          <w:sz w:val="21"/>
          <w:szCs w:val="21"/>
        </w:rPr>
        <w:t>一、评标委员会的组成</w:t>
      </w:r>
      <w:bookmarkEnd w:id="328"/>
      <w:bookmarkEnd w:id="329"/>
      <w:bookmarkEnd w:id="330"/>
      <w:bookmarkEnd w:id="331"/>
      <w:bookmarkEnd w:id="332"/>
      <w:bookmarkEnd w:id="333"/>
      <w:bookmarkEnd w:id="334"/>
      <w:bookmarkEnd w:id="335"/>
      <w:bookmarkEnd w:id="336"/>
    </w:p>
    <w:p>
      <w:pPr>
        <w:spacing w:line="360" w:lineRule="auto"/>
        <w:ind w:firstLine="480"/>
        <w:rPr>
          <w:rFonts w:ascii="宋体" w:hAnsi="宋体" w:eastAsia="宋体" w:cs="宋体"/>
          <w:sz w:val="21"/>
          <w:szCs w:val="21"/>
        </w:rPr>
      </w:pPr>
      <w:bookmarkStart w:id="337" w:name="_Toc359856826"/>
      <w:r>
        <w:rPr>
          <w:rFonts w:hint="eastAsia" w:ascii="宋体" w:hAnsi="宋体" w:eastAsia="宋体" w:cs="宋体"/>
          <w:sz w:val="21"/>
          <w:szCs w:val="21"/>
        </w:rPr>
        <w:t>1.</w:t>
      </w:r>
      <w:r>
        <w:rPr>
          <w:rFonts w:hint="eastAsia" w:ascii="宋体" w:hAnsi="宋体" w:eastAsia="宋体" w:cs="宋体"/>
          <w:kern w:val="0"/>
          <w:sz w:val="21"/>
          <w:szCs w:val="21"/>
        </w:rPr>
        <w:t>评标委员会由采购人代表和评审专家3人组成</w:t>
      </w:r>
      <w:r>
        <w:rPr>
          <w:rFonts w:hint="eastAsia" w:ascii="宋体" w:hAnsi="宋体" w:eastAsia="宋体" w:cs="宋体"/>
          <w:sz w:val="21"/>
          <w:szCs w:val="21"/>
        </w:rPr>
        <w:t>，评标委员会对投标文件进行审查、质疑、评估和比较。采购人、代理机构在开标前，按龙游县国有企业采购相关机制随机抽取确定；负责对项目评审质量和结果的审查和评标。</w:t>
      </w:r>
    </w:p>
    <w:p>
      <w:pPr>
        <w:spacing w:line="360" w:lineRule="auto"/>
        <w:ind w:firstLine="480"/>
        <w:rPr>
          <w:rFonts w:ascii="宋体" w:hAnsi="宋体" w:eastAsia="宋体" w:cs="宋体"/>
          <w:sz w:val="21"/>
          <w:szCs w:val="21"/>
          <w:lang w:val="zh-CN"/>
        </w:rPr>
      </w:pPr>
      <w:r>
        <w:rPr>
          <w:rFonts w:hint="eastAsia" w:ascii="宋体" w:hAnsi="宋体" w:eastAsia="宋体" w:cs="宋体"/>
          <w:sz w:val="21"/>
          <w:szCs w:val="21"/>
        </w:rPr>
        <w:t>2.询标期间，供应商法人代表或法人委托人必须保持电话畅通。负责解答有关事宜。如不在场，则事后不得对采购过程及结果提出异议。</w:t>
      </w:r>
    </w:p>
    <w:p>
      <w:pPr>
        <w:pStyle w:val="5"/>
        <w:spacing w:beforeLines="0" w:afterLines="0" w:line="360" w:lineRule="auto"/>
        <w:ind w:firstLine="0" w:firstLineChars="0"/>
        <w:jc w:val="center"/>
        <w:rPr>
          <w:rFonts w:ascii="宋体" w:hAnsi="宋体" w:eastAsia="宋体" w:cs="宋体"/>
          <w:sz w:val="21"/>
          <w:szCs w:val="21"/>
        </w:rPr>
      </w:pPr>
      <w:bookmarkStart w:id="338" w:name="_Toc22685"/>
      <w:bookmarkStart w:id="339" w:name="_Toc21880"/>
      <w:bookmarkStart w:id="340" w:name="_Toc24529"/>
      <w:bookmarkStart w:id="341" w:name="_Toc3593"/>
      <w:bookmarkStart w:id="342" w:name="_Toc28552"/>
      <w:bookmarkStart w:id="343" w:name="_Toc3055"/>
      <w:bookmarkStart w:id="344" w:name="_Toc19351"/>
      <w:bookmarkStart w:id="345" w:name="_Toc9316"/>
      <w:r>
        <w:rPr>
          <w:rFonts w:hint="eastAsia" w:ascii="宋体" w:hAnsi="宋体" w:eastAsia="宋体" w:cs="宋体"/>
          <w:sz w:val="21"/>
          <w:szCs w:val="21"/>
        </w:rPr>
        <w:t>二、评标原则</w:t>
      </w:r>
      <w:bookmarkEnd w:id="337"/>
      <w:bookmarkEnd w:id="338"/>
      <w:bookmarkEnd w:id="339"/>
      <w:bookmarkEnd w:id="340"/>
      <w:bookmarkEnd w:id="341"/>
      <w:bookmarkEnd w:id="342"/>
      <w:bookmarkEnd w:id="343"/>
      <w:bookmarkEnd w:id="344"/>
      <w:bookmarkEnd w:id="345"/>
    </w:p>
    <w:p>
      <w:pPr>
        <w:spacing w:line="360" w:lineRule="auto"/>
        <w:ind w:firstLine="480"/>
        <w:rPr>
          <w:rFonts w:ascii="宋体" w:hAnsi="宋体" w:eastAsia="宋体" w:cs="宋体"/>
          <w:sz w:val="21"/>
          <w:szCs w:val="21"/>
        </w:rPr>
      </w:pPr>
      <w:bookmarkStart w:id="346" w:name="_Toc359856827"/>
      <w:r>
        <w:rPr>
          <w:rFonts w:hint="eastAsia" w:ascii="宋体" w:hAnsi="宋体" w:eastAsia="宋体" w:cs="宋体"/>
          <w:sz w:val="21"/>
          <w:szCs w:val="21"/>
        </w:rPr>
        <w:t>1.本评标办法采用综合评标法，由资信技术分和商务报价分合计组成,其中商务技术分</w:t>
      </w:r>
      <w:r>
        <w:rPr>
          <w:rFonts w:hint="eastAsia" w:ascii="宋体" w:hAnsi="宋体" w:eastAsia="宋体" w:cs="宋体"/>
          <w:sz w:val="21"/>
          <w:szCs w:val="21"/>
          <w:lang w:val="en-US" w:eastAsia="zh-CN"/>
        </w:rPr>
        <w:t>40</w:t>
      </w:r>
      <w:r>
        <w:rPr>
          <w:rFonts w:hint="eastAsia" w:ascii="宋体" w:hAnsi="宋体" w:eastAsia="宋体" w:cs="宋体"/>
          <w:sz w:val="21"/>
          <w:szCs w:val="21"/>
        </w:rPr>
        <w:t>分、商务报价分</w:t>
      </w:r>
      <w:r>
        <w:rPr>
          <w:rFonts w:hint="eastAsia" w:ascii="宋体" w:hAnsi="宋体" w:eastAsia="宋体" w:cs="宋体"/>
          <w:sz w:val="21"/>
          <w:szCs w:val="21"/>
          <w:lang w:val="en-US" w:eastAsia="zh-CN"/>
        </w:rPr>
        <w:t>60</w:t>
      </w:r>
      <w:r>
        <w:rPr>
          <w:rFonts w:hint="eastAsia" w:ascii="宋体" w:hAnsi="宋体" w:eastAsia="宋体" w:cs="宋体"/>
          <w:sz w:val="21"/>
          <w:szCs w:val="21"/>
        </w:rPr>
        <w:t>分，满分为100分。</w:t>
      </w:r>
    </w:p>
    <w:p>
      <w:pPr>
        <w:spacing w:line="360" w:lineRule="auto"/>
        <w:ind w:firstLine="480"/>
        <w:rPr>
          <w:rFonts w:ascii="宋体" w:hAnsi="宋体" w:eastAsia="宋体" w:cs="宋体"/>
          <w:sz w:val="21"/>
          <w:szCs w:val="21"/>
        </w:rPr>
      </w:pPr>
      <w:r>
        <w:rPr>
          <w:rFonts w:hint="eastAsia" w:ascii="宋体" w:hAnsi="宋体" w:eastAsia="宋体" w:cs="宋体"/>
          <w:sz w:val="21"/>
          <w:szCs w:val="21"/>
        </w:rPr>
        <w:t>2.按照投标人得分由高到低顺序排列推荐中标候选人。得分相同的，按投标评审价由低到高顺序排列。得分且投标评审价相同的，按照投标文件提交时间先后顺序排列。投标文件满足招标文件全部实质性要求，且按照评审因素的量化指标评审得分最高的投标人为排名第一的中标候选人。依次类推。</w:t>
      </w:r>
    </w:p>
    <w:p>
      <w:pPr>
        <w:spacing w:line="360" w:lineRule="auto"/>
        <w:ind w:firstLine="480"/>
        <w:rPr>
          <w:rFonts w:ascii="宋体" w:hAnsi="宋体" w:eastAsia="宋体" w:cs="宋体"/>
          <w:sz w:val="21"/>
          <w:szCs w:val="21"/>
        </w:rPr>
      </w:pPr>
      <w:r>
        <w:rPr>
          <w:rFonts w:hint="eastAsia" w:ascii="宋体" w:hAnsi="宋体" w:eastAsia="宋体" w:cs="宋体"/>
          <w:sz w:val="21"/>
          <w:szCs w:val="21"/>
        </w:rPr>
        <w:t>3.评标委员会根据招标文件和投标文件，结合技术评分细则对各投标人的技术部分进行评审。评标委员会各成员所评分值的算术平均值即为各投标人的资信技术分值（计算时四舍五入保留二位小数）。</w:t>
      </w:r>
    </w:p>
    <w:p>
      <w:pPr>
        <w:spacing w:line="360" w:lineRule="auto"/>
        <w:ind w:firstLine="480"/>
        <w:rPr>
          <w:rFonts w:ascii="宋体" w:hAnsi="宋体" w:eastAsia="宋体" w:cs="宋体"/>
          <w:sz w:val="21"/>
          <w:szCs w:val="21"/>
        </w:rPr>
      </w:pPr>
      <w:r>
        <w:rPr>
          <w:rFonts w:hint="eastAsia" w:ascii="宋体" w:hAnsi="宋体" w:eastAsia="宋体" w:cs="宋体"/>
          <w:sz w:val="21"/>
          <w:szCs w:val="21"/>
        </w:rPr>
        <w:t>4.中标结果经采购人确认后，泰宇建筑工程技术咨询有限公司向中标候选人发出《中标通知书》。</w:t>
      </w:r>
      <w:bookmarkStart w:id="347" w:name="_Toc6539"/>
      <w:bookmarkStart w:id="348" w:name="_Toc23566"/>
      <w:bookmarkStart w:id="349" w:name="_Toc9927"/>
      <w:bookmarkStart w:id="350" w:name="_Toc15135"/>
      <w:bookmarkStart w:id="351" w:name="_Toc14938"/>
    </w:p>
    <w:p>
      <w:pPr>
        <w:pStyle w:val="5"/>
        <w:spacing w:beforeLines="0" w:afterLines="0" w:line="360" w:lineRule="auto"/>
        <w:ind w:firstLine="0" w:firstLineChars="0"/>
        <w:jc w:val="center"/>
        <w:rPr>
          <w:rFonts w:ascii="宋体" w:hAnsi="宋体" w:eastAsia="宋体" w:cs="宋体"/>
          <w:sz w:val="21"/>
          <w:szCs w:val="21"/>
        </w:rPr>
      </w:pPr>
      <w:bookmarkStart w:id="352" w:name="_Toc26882"/>
      <w:bookmarkStart w:id="353" w:name="_Toc11535"/>
      <w:bookmarkStart w:id="354" w:name="_Toc28422"/>
      <w:r>
        <w:rPr>
          <w:rFonts w:hint="eastAsia" w:ascii="宋体" w:hAnsi="宋体" w:eastAsia="宋体" w:cs="宋体"/>
          <w:sz w:val="21"/>
          <w:szCs w:val="21"/>
        </w:rPr>
        <w:t>三、注意事项</w:t>
      </w:r>
      <w:bookmarkEnd w:id="346"/>
      <w:bookmarkEnd w:id="347"/>
      <w:bookmarkEnd w:id="348"/>
      <w:bookmarkEnd w:id="349"/>
      <w:bookmarkEnd w:id="350"/>
      <w:bookmarkEnd w:id="351"/>
      <w:bookmarkEnd w:id="352"/>
      <w:bookmarkEnd w:id="353"/>
      <w:bookmarkEnd w:id="354"/>
    </w:p>
    <w:p>
      <w:pPr>
        <w:spacing w:line="360" w:lineRule="auto"/>
        <w:ind w:firstLine="480"/>
      </w:pPr>
      <w:r>
        <w:rPr>
          <w:rFonts w:hint="eastAsia" w:ascii="宋体" w:hAnsi="宋体" w:eastAsia="宋体" w:cs="宋体"/>
          <w:sz w:val="21"/>
          <w:szCs w:val="21"/>
        </w:rPr>
        <w:t>评标委员会认为投标人的报价明显低于其他通过符合性审查投标人的报价，有可能影响服务质量或者不能诚信履约的，应当要求其在评标合理的时间内提供书面说明，必要时提交相关证明材料；投标人不能证明其报价合理性的，评标委员会应当将其作为无效投标处理。</w:t>
      </w:r>
      <w:bookmarkStart w:id="355" w:name="_Toc31713"/>
      <w:bookmarkStart w:id="356" w:name="_Toc21305"/>
    </w:p>
    <w:p>
      <w:pPr>
        <w:pStyle w:val="5"/>
        <w:spacing w:before="167" w:after="167"/>
        <w:ind w:firstLine="0" w:firstLineChars="0"/>
        <w:jc w:val="center"/>
        <w:rPr>
          <w:rStyle w:val="67"/>
          <w:rFonts w:ascii="宋体" w:hAnsi="宋体" w:eastAsia="宋体" w:cs="宋体"/>
          <w:b/>
          <w:bCs/>
          <w:sz w:val="24"/>
          <w:szCs w:val="24"/>
        </w:rPr>
      </w:pPr>
      <w:r>
        <w:rPr>
          <w:rFonts w:hint="eastAsia" w:ascii="宋体" w:hAnsi="宋体" w:eastAsia="宋体" w:cs="宋体"/>
          <w:sz w:val="24"/>
          <w:szCs w:val="24"/>
        </w:rPr>
        <w:t>四、</w:t>
      </w:r>
      <w:r>
        <w:rPr>
          <w:rStyle w:val="67"/>
          <w:rFonts w:hint="eastAsia" w:ascii="宋体" w:hAnsi="宋体" w:eastAsia="宋体" w:cs="宋体"/>
          <w:b/>
          <w:bCs/>
          <w:sz w:val="24"/>
          <w:szCs w:val="24"/>
        </w:rPr>
        <w:t>评分标准</w:t>
      </w:r>
      <w:bookmarkEnd w:id="355"/>
      <w:bookmarkEnd w:id="356"/>
    </w:p>
    <w:tbl>
      <w:tblPr>
        <w:tblStyle w:val="37"/>
        <w:tblW w:w="94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7"/>
        <w:gridCol w:w="1515"/>
        <w:gridCol w:w="5995"/>
        <w:gridCol w:w="11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pStyle w:val="15"/>
              <w:tabs>
                <w:tab w:val="left" w:pos="0"/>
              </w:tabs>
              <w:spacing w:line="380" w:lineRule="exact"/>
              <w:ind w:left="0" w:leftChars="0" w:firstLine="0" w:firstLineChars="0"/>
              <w:jc w:val="both"/>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515" w:type="dxa"/>
            <w:tcBorders>
              <w:top w:val="single" w:color="auto" w:sz="4" w:space="0"/>
              <w:left w:val="single" w:color="auto" w:sz="4" w:space="0"/>
              <w:bottom w:val="single" w:color="auto" w:sz="4" w:space="0"/>
              <w:right w:val="single" w:color="auto" w:sz="4" w:space="0"/>
            </w:tcBorders>
            <w:vAlign w:val="center"/>
          </w:tcPr>
          <w:p>
            <w:pPr>
              <w:pStyle w:val="15"/>
              <w:tabs>
                <w:tab w:val="left" w:pos="0"/>
              </w:tabs>
              <w:spacing w:line="380" w:lineRule="exact"/>
              <w:ind w:left="0" w:leftChars="0" w:firstLine="0" w:firstLineChars="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评审内容</w:t>
            </w:r>
          </w:p>
        </w:tc>
        <w:tc>
          <w:tcPr>
            <w:tcW w:w="5995" w:type="dxa"/>
            <w:tcBorders>
              <w:top w:val="single" w:color="auto" w:sz="4" w:space="0"/>
              <w:left w:val="single" w:color="auto" w:sz="4" w:space="0"/>
              <w:bottom w:val="single" w:color="auto" w:sz="4" w:space="0"/>
              <w:right w:val="single" w:color="auto" w:sz="4" w:space="0"/>
            </w:tcBorders>
            <w:vAlign w:val="center"/>
          </w:tcPr>
          <w:p>
            <w:pPr>
              <w:pStyle w:val="15"/>
              <w:tabs>
                <w:tab w:val="left" w:pos="0"/>
              </w:tabs>
              <w:spacing w:line="380" w:lineRule="exact"/>
              <w:ind w:left="0" w:leftChars="0" w:firstLine="0" w:firstLineChars="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评分标准</w:t>
            </w:r>
          </w:p>
        </w:tc>
        <w:tc>
          <w:tcPr>
            <w:tcW w:w="1176" w:type="dxa"/>
            <w:tcBorders>
              <w:top w:val="single" w:color="auto" w:sz="4" w:space="0"/>
              <w:left w:val="single" w:color="auto" w:sz="4" w:space="0"/>
              <w:bottom w:val="single" w:color="auto" w:sz="4" w:space="0"/>
              <w:right w:val="single" w:color="auto" w:sz="4" w:space="0"/>
            </w:tcBorders>
            <w:vAlign w:val="center"/>
          </w:tcPr>
          <w:p>
            <w:pPr>
              <w:pStyle w:val="15"/>
              <w:tabs>
                <w:tab w:val="left" w:pos="0"/>
              </w:tabs>
              <w:spacing w:line="380" w:lineRule="exact"/>
              <w:ind w:left="0" w:leftChars="0" w:firstLine="0" w:firstLineChars="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pStyle w:val="15"/>
              <w:tabs>
                <w:tab w:val="left" w:pos="0"/>
              </w:tabs>
              <w:spacing w:line="380" w:lineRule="exact"/>
              <w:ind w:left="0" w:leftChars="0" w:firstLine="0" w:firstLineChars="0"/>
              <w:jc w:val="center"/>
              <w:rPr>
                <w:rFonts w:hint="eastAsia" w:asciiTheme="minorEastAsia" w:hAnsiTheme="minorEastAsia" w:eastAsiaTheme="minorEastAsia" w:cstheme="minorEastAsia"/>
                <w:bCs/>
                <w:color w:val="000000"/>
                <w:kern w:val="2"/>
                <w:sz w:val="24"/>
                <w:szCs w:val="24"/>
                <w:lang w:val="en-US" w:eastAsia="zh-CN" w:bidi="ar-SA"/>
              </w:rPr>
            </w:pPr>
            <w:r>
              <w:rPr>
                <w:rFonts w:hint="eastAsia" w:asciiTheme="minorEastAsia" w:hAnsiTheme="minorEastAsia" w:eastAsiaTheme="minorEastAsia" w:cstheme="minorEastAsia"/>
                <w:bCs/>
                <w:color w:val="000000"/>
                <w:kern w:val="2"/>
                <w:sz w:val="24"/>
                <w:szCs w:val="24"/>
                <w:lang w:val="en-US" w:eastAsia="zh-CN" w:bidi="ar-SA"/>
              </w:rPr>
              <w:t>1</w:t>
            </w:r>
          </w:p>
        </w:tc>
        <w:tc>
          <w:tcPr>
            <w:tcW w:w="151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kern w:val="2"/>
                <w:sz w:val="21"/>
                <w:szCs w:val="21"/>
                <w:lang w:val="en-US" w:eastAsia="zh-CN" w:bidi="ar-SA"/>
              </w:rPr>
              <w:t>报价部分</w:t>
            </w:r>
          </w:p>
        </w:tc>
        <w:tc>
          <w:tcPr>
            <w:tcW w:w="5995" w:type="dxa"/>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210" w:firstLineChars="10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(1)最高限价：29万元；</w:t>
            </w:r>
          </w:p>
          <w:p>
            <w:pPr>
              <w:spacing w:line="240" w:lineRule="auto"/>
              <w:ind w:left="0" w:leftChars="0" w:firstLine="210" w:firstLineChars="10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(2)价格分采用低价优先法计算，即满足招标文件要求且报价最低的为评标基准价；</w:t>
            </w:r>
          </w:p>
          <w:p>
            <w:pPr>
              <w:spacing w:line="240" w:lineRule="auto"/>
              <w:ind w:left="0" w:leftChars="0" w:firstLine="210" w:firstLineChars="100"/>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(3)投标报价得分＝评标基准价/投标人报价×40（保留小数二位，第三位四舍五入）；</w:t>
            </w:r>
          </w:p>
          <w:p>
            <w:pPr>
              <w:spacing w:line="240" w:lineRule="auto"/>
              <w:ind w:left="0" w:leftChars="0" w:firstLine="210" w:firstLineChars="100"/>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color w:val="000000"/>
                <w:sz w:val="21"/>
                <w:szCs w:val="21"/>
                <w:lang w:val="en-US" w:eastAsia="zh-CN"/>
              </w:rPr>
              <w:t>(4)对小微企业提供的货物给予10%的扣除，用扣除后的价格参与评审；</w:t>
            </w:r>
          </w:p>
        </w:tc>
        <w:tc>
          <w:tcPr>
            <w:tcW w:w="1176" w:type="dxa"/>
            <w:tcBorders>
              <w:top w:val="single" w:color="auto" w:sz="4" w:space="0"/>
              <w:left w:val="single" w:color="auto" w:sz="4" w:space="0"/>
              <w:bottom w:val="single" w:color="auto" w:sz="4" w:space="0"/>
              <w:right w:val="single" w:color="auto" w:sz="4" w:space="0"/>
            </w:tcBorders>
            <w:vAlign w:val="center"/>
          </w:tcPr>
          <w:p>
            <w:pPr>
              <w:pStyle w:val="15"/>
              <w:tabs>
                <w:tab w:val="left" w:pos="0"/>
              </w:tabs>
              <w:spacing w:line="380" w:lineRule="exact"/>
              <w:ind w:left="0" w:leftChars="0" w:firstLine="0" w:firstLineChars="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val="0"/>
                <w:bCs w:val="0"/>
                <w:sz w:val="21"/>
                <w:szCs w:val="21"/>
                <w:lang w:val="en-US" w:eastAsia="zh-CN"/>
              </w:rPr>
              <w:t>40</w:t>
            </w:r>
            <w:r>
              <w:rPr>
                <w:rFonts w:hint="eastAsia" w:asciiTheme="minorEastAsia" w:hAnsiTheme="minorEastAsia" w:eastAsiaTheme="minorEastAsia" w:cstheme="minorEastAsia"/>
                <w:b w:val="0"/>
                <w:bCs w:val="0"/>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8307" w:type="dxa"/>
            <w:gridSpan w:val="3"/>
            <w:tcBorders>
              <w:top w:val="single" w:color="auto" w:sz="4" w:space="0"/>
              <w:left w:val="single" w:color="auto" w:sz="4" w:space="0"/>
              <w:bottom w:val="single" w:color="auto" w:sz="4" w:space="0"/>
              <w:right w:val="single" w:color="auto" w:sz="4" w:space="0"/>
            </w:tcBorders>
            <w:vAlign w:val="center"/>
          </w:tcPr>
          <w:p>
            <w:pPr>
              <w:pStyle w:val="15"/>
              <w:tabs>
                <w:tab w:val="left" w:pos="0"/>
              </w:tabs>
              <w:spacing w:line="380" w:lineRule="exact"/>
              <w:ind w:left="0" w:leftChars="0" w:firstLine="0" w:firstLineChars="0"/>
              <w:jc w:val="left"/>
              <w:rPr>
                <w:rFonts w:hint="eastAsia" w:asciiTheme="minorEastAsia" w:hAnsiTheme="minorEastAsia" w:eastAsiaTheme="minorEastAsia" w:cstheme="minorEastAsia"/>
                <w:b/>
                <w:sz w:val="24"/>
              </w:rPr>
            </w:pPr>
            <w:bookmarkStart w:id="357" w:name="OLE_LINK3"/>
            <w:r>
              <w:rPr>
                <w:rFonts w:hint="eastAsia" w:asciiTheme="minorEastAsia" w:hAnsiTheme="minorEastAsia" w:eastAsiaTheme="minorEastAsia" w:cstheme="minorEastAsia"/>
                <w:b/>
                <w:sz w:val="24"/>
                <w:lang w:val="en-US" w:eastAsia="zh-CN"/>
              </w:rPr>
              <w:t>资信</w:t>
            </w:r>
            <w:r>
              <w:rPr>
                <w:rFonts w:hint="eastAsia" w:asciiTheme="minorEastAsia" w:hAnsiTheme="minorEastAsia" w:eastAsiaTheme="minorEastAsia" w:cstheme="minorEastAsia"/>
                <w:b/>
                <w:sz w:val="24"/>
              </w:rPr>
              <w:t>技术</w:t>
            </w:r>
            <w:bookmarkEnd w:id="357"/>
            <w:r>
              <w:rPr>
                <w:rFonts w:hint="eastAsia" w:asciiTheme="minorEastAsia" w:hAnsiTheme="minorEastAsia" w:eastAsiaTheme="minorEastAsia" w:cstheme="minorEastAsia"/>
                <w:b/>
                <w:sz w:val="24"/>
              </w:rPr>
              <w:t>分</w:t>
            </w:r>
          </w:p>
        </w:tc>
        <w:tc>
          <w:tcPr>
            <w:tcW w:w="1176" w:type="dxa"/>
            <w:tcBorders>
              <w:top w:val="single" w:color="auto" w:sz="4" w:space="0"/>
              <w:left w:val="single" w:color="auto" w:sz="4" w:space="0"/>
              <w:bottom w:val="single" w:color="auto" w:sz="4" w:space="0"/>
              <w:right w:val="single" w:color="auto" w:sz="4" w:space="0"/>
            </w:tcBorders>
            <w:vAlign w:val="center"/>
          </w:tcPr>
          <w:p>
            <w:pPr>
              <w:pStyle w:val="15"/>
              <w:tabs>
                <w:tab w:val="left" w:pos="0"/>
              </w:tabs>
              <w:spacing w:line="380" w:lineRule="exact"/>
              <w:ind w:left="0" w:leftChars="0" w:firstLine="0" w:firstLineChars="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lang w:val="en-US" w:eastAsia="zh-CN"/>
              </w:rPr>
              <w:t>60</w:t>
            </w:r>
            <w:r>
              <w:rPr>
                <w:rFonts w:hint="eastAsia" w:asciiTheme="minorEastAsia" w:hAnsiTheme="minorEastAsia" w:eastAsiaTheme="minorEastAsia" w:cstheme="minorEastAsia"/>
                <w:b/>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550" w:lineRule="exact"/>
              <w:ind w:left="0" w:leftChars="0" w:firstLine="0" w:firstLineChars="0"/>
              <w:jc w:val="center"/>
              <w:rPr>
                <w:rFonts w:hint="eastAsia" w:asciiTheme="minorEastAsia" w:hAnsiTheme="minorEastAsia" w:eastAsiaTheme="minorEastAsia" w:cstheme="minorEastAsia"/>
                <w:bCs/>
                <w:color w:val="000000"/>
                <w:sz w:val="24"/>
                <w:lang w:val="en-US" w:eastAsia="zh-CN"/>
              </w:rPr>
            </w:pPr>
            <w:r>
              <w:rPr>
                <w:rFonts w:hint="eastAsia" w:asciiTheme="minorEastAsia" w:hAnsiTheme="minorEastAsia" w:eastAsiaTheme="minorEastAsia" w:cstheme="minorEastAsia"/>
                <w:bCs/>
                <w:color w:val="000000"/>
                <w:sz w:val="24"/>
                <w:lang w:val="en-US" w:eastAsia="zh-CN"/>
              </w:rPr>
              <w:t>2</w:t>
            </w:r>
          </w:p>
        </w:tc>
        <w:tc>
          <w:tcPr>
            <w:tcW w:w="151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Theme="minorEastAsia" w:hAnsiTheme="minorEastAsia" w:eastAsiaTheme="minorEastAsia" w:cstheme="minorEastAsia"/>
                <w:bCs/>
                <w:color w:val="000000"/>
                <w:sz w:val="21"/>
                <w:szCs w:val="21"/>
                <w:lang w:val="en-US" w:eastAsia="zh-CN"/>
              </w:rPr>
            </w:pPr>
            <w:r>
              <w:rPr>
                <w:rFonts w:hint="eastAsia" w:ascii="宋体" w:hAnsi="宋体" w:eastAsia="宋体"/>
                <w:kern w:val="0"/>
                <w:sz w:val="21"/>
                <w:szCs w:val="21"/>
              </w:rPr>
              <w:t>类似业绩</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210" w:firstLineChars="100"/>
              <w:jc w:val="left"/>
              <w:rPr>
                <w:rFonts w:hint="eastAsia" w:asciiTheme="minorEastAsia" w:hAnsiTheme="minorEastAsia" w:eastAsiaTheme="minorEastAsia" w:cstheme="minorEastAsia"/>
                <w:bCs/>
                <w:color w:val="auto"/>
                <w:sz w:val="21"/>
                <w:szCs w:val="21"/>
              </w:rPr>
            </w:pPr>
            <w:r>
              <w:rPr>
                <w:rFonts w:hint="eastAsia" w:ascii="宋体" w:hAnsi="宋体" w:eastAsia="宋体"/>
                <w:kern w:val="0"/>
                <w:sz w:val="21"/>
                <w:szCs w:val="21"/>
              </w:rPr>
              <w:t>投标人或投标产品制造商自202</w:t>
            </w:r>
            <w:r>
              <w:rPr>
                <w:rFonts w:hint="eastAsia" w:ascii="宋体" w:hAnsi="宋体" w:eastAsia="宋体"/>
                <w:kern w:val="0"/>
                <w:sz w:val="21"/>
                <w:szCs w:val="21"/>
                <w:lang w:val="en-US" w:eastAsia="zh-CN"/>
              </w:rPr>
              <w:t>2</w:t>
            </w:r>
            <w:r>
              <w:rPr>
                <w:rFonts w:hint="eastAsia" w:ascii="宋体" w:hAnsi="宋体" w:eastAsia="宋体"/>
                <w:kern w:val="0"/>
                <w:sz w:val="21"/>
                <w:szCs w:val="21"/>
              </w:rPr>
              <w:t>年0</w:t>
            </w:r>
            <w:r>
              <w:rPr>
                <w:rFonts w:hint="eastAsia" w:ascii="宋体" w:hAnsi="宋体" w:eastAsia="宋体"/>
                <w:kern w:val="0"/>
                <w:sz w:val="21"/>
                <w:szCs w:val="21"/>
                <w:lang w:val="en-US" w:eastAsia="zh-CN"/>
              </w:rPr>
              <w:t>1</w:t>
            </w:r>
            <w:r>
              <w:rPr>
                <w:rFonts w:hint="eastAsia" w:ascii="宋体" w:hAnsi="宋体" w:eastAsia="宋体"/>
                <w:kern w:val="0"/>
                <w:sz w:val="21"/>
                <w:szCs w:val="21"/>
              </w:rPr>
              <w:t>月1日（以合同签订时间为准）以来，具有同类产品销售业绩，每提供1份得1分，最高得4分。（须提供合同复制件或中标通知书，否则不得分）。</w:t>
            </w:r>
          </w:p>
        </w:tc>
        <w:tc>
          <w:tcPr>
            <w:tcW w:w="1176" w:type="dxa"/>
            <w:tcBorders>
              <w:top w:val="single" w:color="auto" w:sz="4" w:space="0"/>
              <w:left w:val="single" w:color="auto" w:sz="4" w:space="0"/>
              <w:bottom w:val="single" w:color="auto" w:sz="4" w:space="0"/>
              <w:right w:val="single" w:color="auto" w:sz="4" w:space="0"/>
            </w:tcBorders>
            <w:vAlign w:val="center"/>
          </w:tcPr>
          <w:p>
            <w:pPr>
              <w:spacing w:line="550" w:lineRule="exact"/>
              <w:ind w:left="0" w:lef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0-4分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right w:val="single" w:color="auto" w:sz="4" w:space="0"/>
            </w:tcBorders>
            <w:vAlign w:val="center"/>
          </w:tcPr>
          <w:p>
            <w:pPr>
              <w:spacing w:line="550" w:lineRule="exact"/>
              <w:ind w:left="0" w:leftChars="0" w:firstLine="0" w:firstLineChars="0"/>
              <w:jc w:val="center"/>
              <w:rPr>
                <w:rFonts w:hint="eastAsia" w:asciiTheme="minorEastAsia" w:hAnsiTheme="minorEastAsia" w:eastAsiaTheme="minorEastAsia" w:cstheme="minorEastAsia"/>
                <w:bCs/>
                <w:color w:val="000000"/>
                <w:sz w:val="24"/>
                <w:lang w:val="en-US" w:eastAsia="zh-CN"/>
              </w:rPr>
            </w:pPr>
            <w:r>
              <w:rPr>
                <w:rFonts w:hint="eastAsia" w:asciiTheme="minorEastAsia" w:hAnsiTheme="minorEastAsia" w:eastAsiaTheme="minorEastAsia" w:cstheme="minorEastAsia"/>
                <w:bCs/>
                <w:color w:val="000000"/>
                <w:sz w:val="24"/>
                <w:lang w:val="en-US" w:eastAsia="zh-CN"/>
              </w:rPr>
              <w:t>3</w:t>
            </w:r>
          </w:p>
        </w:tc>
        <w:tc>
          <w:tcPr>
            <w:tcW w:w="1515" w:type="dxa"/>
            <w:tcBorders>
              <w:top w:val="single" w:color="auto" w:sz="4" w:space="0"/>
              <w:left w:val="single" w:color="auto" w:sz="4" w:space="0"/>
              <w:right w:val="single" w:color="auto" w:sz="4" w:space="0"/>
            </w:tcBorders>
            <w:vAlign w:val="center"/>
          </w:tcPr>
          <w:p>
            <w:pPr>
              <w:pStyle w:val="30"/>
              <w:ind w:left="250" w:hanging="218" w:hangingChars="104"/>
              <w:jc w:val="center"/>
              <w:rPr>
                <w:rFonts w:ascii="宋体" w:hAnsi="宋体" w:eastAsia="宋体"/>
                <w:kern w:val="2"/>
                <w:sz w:val="21"/>
                <w:szCs w:val="21"/>
              </w:rPr>
            </w:pPr>
            <w:r>
              <w:rPr>
                <w:rFonts w:hint="eastAsia" w:ascii="宋体" w:hAnsi="宋体" w:eastAsia="宋体"/>
                <w:kern w:val="0"/>
                <w:sz w:val="21"/>
                <w:szCs w:val="21"/>
              </w:rPr>
              <w:t>综合实力</w:t>
            </w:r>
          </w:p>
          <w:p>
            <w:pPr>
              <w:spacing w:line="550" w:lineRule="exact"/>
              <w:ind w:left="0" w:leftChars="0" w:firstLine="0" w:firstLineChars="0"/>
              <w:jc w:val="center"/>
              <w:rPr>
                <w:rFonts w:hint="eastAsia" w:asciiTheme="minorEastAsia" w:hAnsiTheme="minorEastAsia" w:eastAsiaTheme="minorEastAsia" w:cstheme="minorEastAsia"/>
                <w:bCs/>
                <w:color w:val="000000"/>
                <w:sz w:val="21"/>
                <w:szCs w:val="21"/>
                <w:lang w:val="en-US" w:eastAsia="zh-CN"/>
              </w:rPr>
            </w:pPr>
          </w:p>
        </w:tc>
        <w:tc>
          <w:tcPr>
            <w:tcW w:w="599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210" w:firstLineChars="100"/>
              <w:jc w:val="left"/>
              <w:rPr>
                <w:rFonts w:hint="eastAsia" w:ascii="宋体" w:hAnsi="宋体" w:eastAsia="宋体" w:cs="Times New Roman"/>
                <w:kern w:val="0"/>
                <w:sz w:val="21"/>
                <w:szCs w:val="21"/>
                <w:lang w:eastAsia="zh-CN"/>
              </w:rPr>
            </w:pPr>
            <w:r>
              <w:rPr>
                <w:rFonts w:hint="eastAsia" w:ascii="宋体" w:hAnsi="宋体" w:eastAsia="宋体" w:cs="Times New Roman"/>
                <w:kern w:val="0"/>
                <w:sz w:val="21"/>
                <w:szCs w:val="21"/>
                <w:lang w:val="en-US" w:eastAsia="zh-CN"/>
              </w:rPr>
              <w:t>1、</w:t>
            </w:r>
            <w:r>
              <w:rPr>
                <w:rFonts w:hint="eastAsia" w:ascii="宋体" w:hAnsi="宋体" w:eastAsia="宋体" w:cs="Times New Roman"/>
                <w:kern w:val="0"/>
                <w:sz w:val="21"/>
                <w:szCs w:val="21"/>
                <w:lang w:eastAsia="zh-CN"/>
              </w:rPr>
              <w:t>投标人或所投产品生产厂家</w:t>
            </w:r>
            <w:r>
              <w:rPr>
                <w:rFonts w:hint="eastAsia" w:ascii="宋体" w:hAnsi="宋体" w:eastAsia="宋体" w:cs="Times New Roman"/>
                <w:kern w:val="0"/>
                <w:sz w:val="21"/>
                <w:szCs w:val="21"/>
              </w:rPr>
              <w:t>具有质量管理体系认证ISO9001证书</w:t>
            </w:r>
            <w:r>
              <w:rPr>
                <w:rFonts w:hint="eastAsia" w:ascii="宋体" w:hAnsi="宋体" w:eastAsia="宋体" w:cs="Times New Roman"/>
                <w:kern w:val="0"/>
                <w:sz w:val="21"/>
                <w:szCs w:val="21"/>
                <w:lang w:eastAsia="zh-CN"/>
              </w:rPr>
              <w:t>的</w:t>
            </w:r>
            <w:r>
              <w:rPr>
                <w:rFonts w:hint="eastAsia" w:ascii="宋体" w:hAnsi="宋体" w:eastAsia="宋体" w:cs="Times New Roman"/>
                <w:kern w:val="0"/>
                <w:sz w:val="21"/>
                <w:szCs w:val="21"/>
              </w:rPr>
              <w:t>得</w:t>
            </w:r>
            <w:r>
              <w:rPr>
                <w:rFonts w:hint="eastAsia" w:ascii="宋体" w:hAnsi="宋体" w:eastAsia="宋体" w:cs="Times New Roman"/>
                <w:kern w:val="0"/>
                <w:sz w:val="21"/>
                <w:szCs w:val="21"/>
                <w:lang w:val="en-US" w:eastAsia="zh-CN"/>
              </w:rPr>
              <w:t>1</w:t>
            </w:r>
            <w:r>
              <w:rPr>
                <w:rFonts w:hint="eastAsia" w:ascii="宋体" w:hAnsi="宋体" w:eastAsia="宋体" w:cs="Times New Roman"/>
                <w:kern w:val="0"/>
                <w:sz w:val="21"/>
                <w:szCs w:val="21"/>
              </w:rPr>
              <w:t>分</w:t>
            </w:r>
            <w:r>
              <w:rPr>
                <w:rFonts w:hint="eastAsia" w:ascii="宋体" w:hAnsi="宋体" w:eastAsia="宋体" w:cs="Times New Roman"/>
                <w:kern w:val="0"/>
                <w:sz w:val="21"/>
                <w:szCs w:val="21"/>
                <w:lang w:eastAsia="zh-CN"/>
              </w:rPr>
              <w:t>。</w:t>
            </w:r>
          </w:p>
          <w:p>
            <w:pPr>
              <w:widowControl/>
              <w:snapToGrid w:val="0"/>
              <w:spacing w:line="360" w:lineRule="auto"/>
              <w:ind w:firstLine="210" w:firstLineChars="100"/>
              <w:jc w:val="left"/>
              <w:rPr>
                <w:rFonts w:hint="eastAsia" w:ascii="宋体" w:hAnsi="宋体" w:eastAsia="宋体" w:cs="Times New Roman"/>
                <w:kern w:val="0"/>
                <w:sz w:val="21"/>
                <w:szCs w:val="21"/>
                <w:lang w:eastAsia="zh-CN"/>
              </w:rPr>
            </w:pPr>
            <w:r>
              <w:rPr>
                <w:rFonts w:hint="eastAsia" w:ascii="宋体" w:hAnsi="宋体" w:eastAsia="宋体" w:cs="Times New Roman"/>
                <w:kern w:val="0"/>
                <w:sz w:val="21"/>
                <w:szCs w:val="21"/>
                <w:lang w:val="en-US" w:eastAsia="zh-CN"/>
              </w:rPr>
              <w:t>2、</w:t>
            </w:r>
            <w:r>
              <w:rPr>
                <w:rFonts w:hint="eastAsia" w:ascii="宋体" w:hAnsi="宋体" w:eastAsia="宋体" w:cs="Times New Roman"/>
                <w:kern w:val="0"/>
                <w:sz w:val="21"/>
                <w:szCs w:val="21"/>
                <w:lang w:eastAsia="zh-CN"/>
              </w:rPr>
              <w:t>投标人或所投产品生产厂家</w:t>
            </w:r>
            <w:r>
              <w:rPr>
                <w:rFonts w:hint="eastAsia" w:ascii="宋体" w:hAnsi="宋体" w:eastAsia="宋体" w:cs="Times New Roman"/>
                <w:kern w:val="0"/>
                <w:sz w:val="21"/>
                <w:szCs w:val="21"/>
              </w:rPr>
              <w:t>具有环境管理体系认证ISO14001证书</w:t>
            </w:r>
            <w:r>
              <w:rPr>
                <w:rFonts w:hint="eastAsia" w:ascii="宋体" w:hAnsi="宋体" w:eastAsia="宋体" w:cs="Times New Roman"/>
                <w:kern w:val="0"/>
                <w:sz w:val="21"/>
                <w:szCs w:val="21"/>
                <w:lang w:eastAsia="zh-CN"/>
              </w:rPr>
              <w:t>的</w:t>
            </w:r>
            <w:r>
              <w:rPr>
                <w:rFonts w:hint="eastAsia" w:ascii="宋体" w:hAnsi="宋体" w:eastAsia="宋体" w:cs="Times New Roman"/>
                <w:kern w:val="0"/>
                <w:sz w:val="21"/>
                <w:szCs w:val="21"/>
              </w:rPr>
              <w:t>得</w:t>
            </w:r>
            <w:r>
              <w:rPr>
                <w:rFonts w:hint="eastAsia" w:ascii="宋体" w:hAnsi="宋体" w:eastAsia="宋体" w:cs="Times New Roman"/>
                <w:kern w:val="0"/>
                <w:sz w:val="21"/>
                <w:szCs w:val="21"/>
                <w:lang w:val="en-US" w:eastAsia="zh-CN"/>
              </w:rPr>
              <w:t>1</w:t>
            </w:r>
            <w:r>
              <w:rPr>
                <w:rFonts w:hint="eastAsia" w:ascii="宋体" w:hAnsi="宋体" w:eastAsia="宋体" w:cs="Times New Roman"/>
                <w:kern w:val="0"/>
                <w:sz w:val="21"/>
                <w:szCs w:val="21"/>
              </w:rPr>
              <w:t>分</w:t>
            </w:r>
            <w:r>
              <w:rPr>
                <w:rFonts w:hint="eastAsia" w:ascii="宋体" w:hAnsi="宋体" w:eastAsia="宋体" w:cs="Times New Roman"/>
                <w:kern w:val="0"/>
                <w:sz w:val="21"/>
                <w:szCs w:val="21"/>
                <w:lang w:eastAsia="zh-CN"/>
              </w:rPr>
              <w:t>。</w:t>
            </w:r>
          </w:p>
          <w:p>
            <w:pPr>
              <w:widowControl/>
              <w:snapToGrid w:val="0"/>
              <w:spacing w:line="360" w:lineRule="auto"/>
              <w:ind w:firstLine="210" w:firstLineChars="100"/>
              <w:jc w:val="left"/>
              <w:rPr>
                <w:rFonts w:hint="eastAsia" w:ascii="宋体" w:hAnsi="宋体" w:eastAsia="宋体" w:cs="Times New Roman"/>
                <w:kern w:val="0"/>
                <w:sz w:val="21"/>
                <w:szCs w:val="21"/>
                <w:lang w:eastAsia="zh-CN"/>
              </w:rPr>
            </w:pPr>
            <w:r>
              <w:rPr>
                <w:rFonts w:hint="eastAsia" w:ascii="宋体" w:hAnsi="宋体" w:eastAsia="宋体" w:cs="Times New Roman"/>
                <w:kern w:val="0"/>
                <w:sz w:val="21"/>
                <w:szCs w:val="21"/>
                <w:lang w:val="en-US" w:eastAsia="zh-CN"/>
              </w:rPr>
              <w:t>3、</w:t>
            </w:r>
            <w:r>
              <w:rPr>
                <w:rFonts w:hint="eastAsia" w:ascii="宋体" w:hAnsi="宋体" w:eastAsia="宋体" w:cs="Times New Roman"/>
                <w:kern w:val="0"/>
                <w:sz w:val="21"/>
                <w:szCs w:val="21"/>
                <w:lang w:eastAsia="zh-CN"/>
              </w:rPr>
              <w:t>投标人或所投产品生产厂家</w:t>
            </w:r>
            <w:r>
              <w:rPr>
                <w:rFonts w:hint="eastAsia" w:ascii="宋体" w:hAnsi="宋体" w:eastAsia="宋体" w:cs="Times New Roman"/>
                <w:kern w:val="0"/>
                <w:sz w:val="21"/>
                <w:szCs w:val="21"/>
              </w:rPr>
              <w:t>具有职业健康安全管理体系认证ISO45001证书</w:t>
            </w:r>
            <w:r>
              <w:rPr>
                <w:rFonts w:hint="eastAsia" w:ascii="宋体" w:hAnsi="宋体" w:eastAsia="宋体" w:cs="Times New Roman"/>
                <w:kern w:val="0"/>
                <w:sz w:val="21"/>
                <w:szCs w:val="21"/>
                <w:lang w:eastAsia="zh-CN"/>
              </w:rPr>
              <w:t>的</w:t>
            </w:r>
            <w:r>
              <w:rPr>
                <w:rFonts w:hint="eastAsia" w:ascii="宋体" w:hAnsi="宋体" w:eastAsia="宋体" w:cs="Times New Roman"/>
                <w:kern w:val="0"/>
                <w:sz w:val="21"/>
                <w:szCs w:val="21"/>
              </w:rPr>
              <w:t>得</w:t>
            </w:r>
            <w:r>
              <w:rPr>
                <w:rFonts w:hint="eastAsia" w:ascii="宋体" w:hAnsi="宋体" w:eastAsia="宋体" w:cs="Times New Roman"/>
                <w:kern w:val="0"/>
                <w:sz w:val="21"/>
                <w:szCs w:val="21"/>
                <w:lang w:val="en-US" w:eastAsia="zh-CN"/>
              </w:rPr>
              <w:t>1</w:t>
            </w:r>
            <w:r>
              <w:rPr>
                <w:rFonts w:hint="eastAsia" w:ascii="宋体" w:hAnsi="宋体" w:eastAsia="宋体" w:cs="Times New Roman"/>
                <w:kern w:val="0"/>
                <w:sz w:val="21"/>
                <w:szCs w:val="21"/>
              </w:rPr>
              <w:t>分</w:t>
            </w:r>
            <w:r>
              <w:rPr>
                <w:rFonts w:hint="eastAsia" w:ascii="宋体" w:hAnsi="宋体" w:eastAsia="宋体" w:cs="Times New Roman"/>
                <w:kern w:val="0"/>
                <w:sz w:val="21"/>
                <w:szCs w:val="21"/>
                <w:lang w:eastAsia="zh-CN"/>
              </w:rPr>
              <w:t>。</w:t>
            </w:r>
          </w:p>
          <w:p>
            <w:pPr>
              <w:widowControl/>
              <w:snapToGrid w:val="0"/>
              <w:spacing w:line="360" w:lineRule="auto"/>
              <w:ind w:firstLine="210" w:firstLineChars="100"/>
              <w:jc w:val="left"/>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4、</w:t>
            </w:r>
            <w:r>
              <w:rPr>
                <w:rFonts w:hint="eastAsia" w:ascii="宋体" w:hAnsi="宋体" w:eastAsia="宋体" w:cs="Times New Roman"/>
                <w:kern w:val="0"/>
                <w:sz w:val="21"/>
                <w:szCs w:val="21"/>
                <w:lang w:eastAsia="zh-CN"/>
              </w:rPr>
              <w:t>所投产品</w:t>
            </w:r>
            <w:r>
              <w:rPr>
                <w:rFonts w:hint="eastAsia" w:ascii="宋体" w:hAnsi="宋体" w:eastAsia="宋体" w:cs="Times New Roman"/>
                <w:kern w:val="0"/>
                <w:sz w:val="21"/>
                <w:szCs w:val="21"/>
              </w:rPr>
              <w:t>符合行业标准YB/T4652-2018，提供市级及以上质检部门出具的质量检测报告</w:t>
            </w:r>
            <w:r>
              <w:rPr>
                <w:rFonts w:hint="eastAsia" w:ascii="宋体" w:hAnsi="宋体" w:eastAsia="宋体" w:cs="Times New Roman"/>
                <w:kern w:val="0"/>
                <w:sz w:val="21"/>
                <w:szCs w:val="21"/>
                <w:lang w:val="en-US" w:eastAsia="zh-CN"/>
              </w:rPr>
              <w:t>的</w:t>
            </w:r>
            <w:r>
              <w:rPr>
                <w:rFonts w:hint="eastAsia" w:ascii="宋体" w:hAnsi="宋体" w:eastAsia="宋体" w:cs="Times New Roman"/>
                <w:kern w:val="0"/>
                <w:sz w:val="21"/>
                <w:szCs w:val="21"/>
              </w:rPr>
              <w:t>，得</w:t>
            </w:r>
            <w:r>
              <w:rPr>
                <w:rFonts w:hint="eastAsia" w:ascii="宋体" w:hAnsi="宋体" w:eastAsia="宋体" w:cs="Times New Roman"/>
                <w:kern w:val="0"/>
                <w:sz w:val="21"/>
                <w:szCs w:val="21"/>
                <w:lang w:val="en-US" w:eastAsia="zh-CN"/>
              </w:rPr>
              <w:t>2</w:t>
            </w:r>
            <w:r>
              <w:rPr>
                <w:rFonts w:hint="eastAsia" w:ascii="宋体" w:hAnsi="宋体" w:eastAsia="宋体" w:cs="Times New Roman"/>
                <w:kern w:val="0"/>
                <w:sz w:val="21"/>
                <w:szCs w:val="21"/>
              </w:rPr>
              <w:t>分，无不得分。</w:t>
            </w:r>
          </w:p>
          <w:p>
            <w:pPr>
              <w:widowControl/>
              <w:snapToGrid w:val="0"/>
              <w:spacing w:line="360" w:lineRule="auto"/>
              <w:ind w:firstLine="210" w:firstLineChars="100"/>
              <w:jc w:val="left"/>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5.提供省级卫生检测机构出具的输配水设备及防护材料检测报告的，得2分，无不得分。</w:t>
            </w:r>
          </w:p>
          <w:p>
            <w:pPr>
              <w:widowControl/>
              <w:snapToGrid w:val="0"/>
              <w:spacing w:line="360" w:lineRule="auto"/>
              <w:ind w:firstLine="210" w:firstLineChars="100"/>
              <w:jc w:val="left"/>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6.提供涉及饮用水卫生安全产品卫生许可批件的，得2分，无不得分。</w:t>
            </w:r>
          </w:p>
          <w:p>
            <w:pPr>
              <w:widowControl/>
              <w:snapToGrid w:val="0"/>
              <w:spacing w:line="360" w:lineRule="auto"/>
              <w:ind w:firstLine="210" w:firstLineChars="100"/>
              <w:jc w:val="left"/>
              <w:rPr>
                <w:rFonts w:hint="eastAsia" w:eastAsia="宋体" w:asciiTheme="minorEastAsia" w:hAnsiTheme="minorEastAsia" w:cstheme="minorEastAsia"/>
                <w:bCs/>
                <w:color w:val="000000"/>
                <w:sz w:val="21"/>
                <w:szCs w:val="21"/>
                <w:lang w:eastAsia="zh-CN"/>
              </w:rPr>
            </w:pPr>
            <w:r>
              <w:rPr>
                <w:rFonts w:hint="eastAsia" w:ascii="宋体" w:hAnsi="宋体" w:eastAsia="宋体" w:cs="Times New Roman"/>
                <w:kern w:val="0"/>
                <w:sz w:val="21"/>
                <w:szCs w:val="21"/>
                <w:lang w:val="en-US" w:eastAsia="zh-CN"/>
              </w:rPr>
              <w:t>注：须提供证书原件扫描件编入投标文件中，否则不得分。</w:t>
            </w:r>
          </w:p>
        </w:tc>
        <w:tc>
          <w:tcPr>
            <w:tcW w:w="1176" w:type="dxa"/>
            <w:tcBorders>
              <w:top w:val="single" w:color="auto" w:sz="4" w:space="0"/>
              <w:left w:val="single" w:color="auto" w:sz="4" w:space="0"/>
              <w:bottom w:val="single" w:color="auto" w:sz="4" w:space="0"/>
              <w:right w:val="single" w:color="auto" w:sz="4" w:space="0"/>
            </w:tcBorders>
            <w:vAlign w:val="center"/>
          </w:tcPr>
          <w:p>
            <w:pPr>
              <w:spacing w:line="550" w:lineRule="exact"/>
              <w:ind w:left="0" w:leftChars="0" w:firstLine="0" w:firstLineChars="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0-9分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550" w:lineRule="exact"/>
              <w:ind w:left="0" w:leftChars="0" w:firstLine="0" w:firstLineChars="0"/>
              <w:jc w:val="center"/>
              <w:rPr>
                <w:rFonts w:hint="eastAsia" w:asciiTheme="minorEastAsia" w:hAnsiTheme="minorEastAsia" w:eastAsiaTheme="minorEastAsia" w:cstheme="minorEastAsia"/>
                <w:bCs/>
                <w:color w:val="000000"/>
                <w:sz w:val="24"/>
                <w:lang w:eastAsia="zh-CN"/>
              </w:rPr>
            </w:pPr>
            <w:r>
              <w:rPr>
                <w:rFonts w:hint="eastAsia" w:asciiTheme="minorEastAsia" w:hAnsiTheme="minorEastAsia" w:eastAsiaTheme="minorEastAsia" w:cstheme="minorEastAsia"/>
                <w:bCs/>
                <w:color w:val="000000"/>
                <w:sz w:val="24"/>
                <w:lang w:val="en-US" w:eastAsia="zh-CN"/>
              </w:rPr>
              <w:t>4</w:t>
            </w:r>
          </w:p>
        </w:tc>
        <w:tc>
          <w:tcPr>
            <w:tcW w:w="151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210" w:firstLineChars="100"/>
              <w:jc w:val="left"/>
              <w:rPr>
                <w:rFonts w:hint="eastAsia" w:ascii="宋体" w:hAnsi="宋体" w:eastAsia="宋体" w:cs="Times New Roman"/>
                <w:kern w:val="0"/>
                <w:sz w:val="21"/>
                <w:szCs w:val="21"/>
                <w:lang w:eastAsia="zh-CN"/>
              </w:rPr>
            </w:pPr>
            <w:r>
              <w:rPr>
                <w:rFonts w:hint="eastAsia" w:ascii="宋体" w:hAnsi="宋体" w:eastAsia="宋体" w:cs="Times New Roman"/>
                <w:kern w:val="0"/>
                <w:sz w:val="21"/>
                <w:szCs w:val="21"/>
                <w:lang w:eastAsia="zh-CN"/>
              </w:rPr>
              <w:t>产品性能</w:t>
            </w:r>
          </w:p>
          <w:p>
            <w:pPr>
              <w:widowControl/>
              <w:snapToGrid w:val="0"/>
              <w:spacing w:line="360" w:lineRule="auto"/>
              <w:ind w:firstLine="210" w:firstLineChars="100"/>
              <w:jc w:val="left"/>
              <w:rPr>
                <w:rFonts w:hint="eastAsia" w:ascii="宋体" w:hAnsi="宋体" w:eastAsia="宋体" w:cs="Times New Roman"/>
                <w:kern w:val="0"/>
                <w:sz w:val="21"/>
                <w:szCs w:val="21"/>
              </w:rPr>
            </w:pPr>
          </w:p>
        </w:tc>
        <w:tc>
          <w:tcPr>
            <w:tcW w:w="599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210" w:firstLineChars="100"/>
              <w:jc w:val="left"/>
              <w:rPr>
                <w:rFonts w:hint="eastAsia" w:ascii="宋体" w:hAnsi="宋体" w:eastAsia="宋体" w:cs="Times New Roman"/>
                <w:kern w:val="0"/>
                <w:sz w:val="21"/>
                <w:szCs w:val="21"/>
              </w:rPr>
            </w:pPr>
            <w:r>
              <w:rPr>
                <w:rFonts w:hint="eastAsia" w:ascii="宋体" w:hAnsi="宋体" w:eastAsia="宋体" w:cs="Times New Roman"/>
                <w:kern w:val="0"/>
                <w:sz w:val="21"/>
                <w:szCs w:val="21"/>
              </w:rPr>
              <w:t>1.采用双密封槽或多密封槽密封结构得</w:t>
            </w:r>
            <w:r>
              <w:rPr>
                <w:rFonts w:hint="eastAsia" w:ascii="宋体" w:hAnsi="宋体" w:eastAsia="宋体" w:cs="Times New Roman"/>
                <w:kern w:val="0"/>
                <w:sz w:val="21"/>
                <w:szCs w:val="21"/>
                <w:lang w:val="en-US" w:eastAsia="zh-CN"/>
              </w:rPr>
              <w:t>4</w:t>
            </w:r>
            <w:r>
              <w:rPr>
                <w:rFonts w:hint="eastAsia" w:ascii="宋体" w:hAnsi="宋体" w:eastAsia="宋体" w:cs="Times New Roman"/>
                <w:kern w:val="0"/>
                <w:sz w:val="21"/>
                <w:szCs w:val="21"/>
              </w:rPr>
              <w:t>分，单密封槽得</w:t>
            </w:r>
            <w:r>
              <w:rPr>
                <w:rFonts w:hint="eastAsia" w:ascii="宋体" w:hAnsi="宋体" w:eastAsia="宋体" w:cs="Times New Roman"/>
                <w:kern w:val="0"/>
                <w:sz w:val="21"/>
                <w:szCs w:val="21"/>
                <w:lang w:eastAsia="zh-CN"/>
              </w:rPr>
              <w:t>2</w:t>
            </w:r>
            <w:r>
              <w:rPr>
                <w:rFonts w:hint="eastAsia" w:ascii="宋体" w:hAnsi="宋体" w:eastAsia="宋体" w:cs="Times New Roman"/>
                <w:kern w:val="0"/>
                <w:sz w:val="21"/>
                <w:szCs w:val="21"/>
              </w:rPr>
              <w:t>分（</w:t>
            </w:r>
            <w:r>
              <w:rPr>
                <w:rFonts w:hint="eastAsia" w:ascii="宋体" w:hAnsi="宋体" w:eastAsia="宋体" w:cs="Times New Roman"/>
                <w:kern w:val="0"/>
                <w:sz w:val="21"/>
                <w:szCs w:val="21"/>
                <w:lang w:val="en-US" w:eastAsia="zh-CN"/>
              </w:rPr>
              <w:t>须</w:t>
            </w:r>
            <w:r>
              <w:rPr>
                <w:rFonts w:hint="eastAsia" w:ascii="宋体" w:hAnsi="宋体" w:eastAsia="宋体" w:cs="Times New Roman"/>
                <w:kern w:val="0"/>
                <w:sz w:val="21"/>
                <w:szCs w:val="21"/>
              </w:rPr>
              <w:t>提供有关证明</w:t>
            </w:r>
            <w:r>
              <w:rPr>
                <w:rFonts w:hint="eastAsia" w:ascii="宋体" w:hAnsi="宋体" w:eastAsia="宋体" w:cs="Times New Roman"/>
                <w:kern w:val="0"/>
                <w:sz w:val="21"/>
                <w:szCs w:val="21"/>
                <w:lang w:eastAsia="zh-CN"/>
              </w:rPr>
              <w:t>，</w:t>
            </w:r>
            <w:r>
              <w:rPr>
                <w:rFonts w:hint="eastAsia" w:ascii="宋体" w:hAnsi="宋体" w:eastAsia="宋体" w:cs="Times New Roman"/>
                <w:kern w:val="0"/>
                <w:sz w:val="21"/>
                <w:szCs w:val="21"/>
              </w:rPr>
              <w:t>否则不得分）</w:t>
            </w:r>
          </w:p>
          <w:p>
            <w:pPr>
              <w:widowControl/>
              <w:snapToGrid w:val="0"/>
              <w:spacing w:line="360" w:lineRule="auto"/>
              <w:ind w:firstLine="210" w:firstLineChars="100"/>
              <w:jc w:val="left"/>
              <w:rPr>
                <w:rFonts w:hint="eastAsia" w:ascii="宋体" w:hAnsi="宋体" w:eastAsia="宋体" w:cs="Times New Roman"/>
                <w:kern w:val="0"/>
                <w:sz w:val="21"/>
                <w:szCs w:val="21"/>
              </w:rPr>
            </w:pPr>
            <w:r>
              <w:rPr>
                <w:rFonts w:hint="eastAsia" w:ascii="宋体" w:hAnsi="宋体" w:eastAsia="宋体" w:cs="Times New Roman"/>
                <w:kern w:val="0"/>
                <w:sz w:val="21"/>
                <w:szCs w:val="21"/>
              </w:rPr>
              <w:t>2.产品密封圈采用三元乙丙的得</w:t>
            </w:r>
            <w:r>
              <w:rPr>
                <w:rFonts w:hint="eastAsia" w:ascii="宋体" w:hAnsi="宋体" w:eastAsia="宋体" w:cs="Times New Roman"/>
                <w:kern w:val="0"/>
                <w:sz w:val="21"/>
                <w:szCs w:val="21"/>
                <w:lang w:val="en-US" w:eastAsia="zh-CN"/>
              </w:rPr>
              <w:t>2</w:t>
            </w:r>
            <w:r>
              <w:rPr>
                <w:rFonts w:hint="eastAsia" w:ascii="宋体" w:hAnsi="宋体" w:eastAsia="宋体" w:cs="Times New Roman"/>
                <w:kern w:val="0"/>
                <w:sz w:val="21"/>
                <w:szCs w:val="21"/>
              </w:rPr>
              <w:t>分，其它得</w:t>
            </w:r>
            <w:r>
              <w:rPr>
                <w:rFonts w:hint="eastAsia" w:ascii="宋体" w:hAnsi="宋体" w:eastAsia="宋体" w:cs="Times New Roman"/>
                <w:kern w:val="0"/>
                <w:sz w:val="21"/>
                <w:szCs w:val="21"/>
                <w:lang w:val="en-US" w:eastAsia="zh-CN"/>
              </w:rPr>
              <w:t>1</w:t>
            </w:r>
            <w:r>
              <w:rPr>
                <w:rFonts w:hint="eastAsia" w:ascii="宋体" w:hAnsi="宋体" w:eastAsia="宋体" w:cs="Times New Roman"/>
                <w:kern w:val="0"/>
                <w:sz w:val="21"/>
                <w:szCs w:val="21"/>
              </w:rPr>
              <w:t>分（</w:t>
            </w:r>
            <w:r>
              <w:rPr>
                <w:rFonts w:hint="eastAsia" w:ascii="宋体" w:hAnsi="宋体" w:eastAsia="宋体" w:cs="Times New Roman"/>
                <w:kern w:val="0"/>
                <w:sz w:val="21"/>
                <w:szCs w:val="21"/>
                <w:lang w:val="en-US" w:eastAsia="zh-CN"/>
              </w:rPr>
              <w:t>须</w:t>
            </w:r>
            <w:r>
              <w:rPr>
                <w:rFonts w:hint="eastAsia" w:ascii="宋体" w:hAnsi="宋体" w:eastAsia="宋体" w:cs="Times New Roman"/>
                <w:kern w:val="0"/>
                <w:sz w:val="21"/>
                <w:szCs w:val="21"/>
              </w:rPr>
              <w:t>提供有关证明</w:t>
            </w:r>
            <w:r>
              <w:rPr>
                <w:rFonts w:hint="eastAsia" w:ascii="宋体" w:hAnsi="宋体" w:eastAsia="宋体" w:cs="Times New Roman"/>
                <w:kern w:val="0"/>
                <w:sz w:val="21"/>
                <w:szCs w:val="21"/>
                <w:lang w:eastAsia="zh-CN"/>
              </w:rPr>
              <w:t>，</w:t>
            </w:r>
            <w:r>
              <w:rPr>
                <w:rFonts w:hint="eastAsia" w:ascii="宋体" w:hAnsi="宋体" w:eastAsia="宋体" w:cs="Times New Roman"/>
                <w:kern w:val="0"/>
                <w:sz w:val="21"/>
                <w:szCs w:val="21"/>
              </w:rPr>
              <w:t>否则不得分</w:t>
            </w:r>
            <w:r>
              <w:rPr>
                <w:rFonts w:hint="eastAsia" w:ascii="宋体" w:hAnsi="宋体" w:eastAsia="宋体" w:cs="Times New Roman"/>
                <w:kern w:val="0"/>
                <w:sz w:val="21"/>
                <w:szCs w:val="21"/>
                <w:lang w:eastAsia="zh-CN"/>
              </w:rPr>
              <w:t>）</w:t>
            </w:r>
          </w:p>
          <w:p>
            <w:pPr>
              <w:widowControl/>
              <w:snapToGrid w:val="0"/>
              <w:spacing w:line="360" w:lineRule="auto"/>
              <w:ind w:firstLine="210" w:firstLineChars="100"/>
              <w:jc w:val="left"/>
              <w:rPr>
                <w:rFonts w:hint="eastAsia" w:ascii="宋体" w:hAnsi="宋体" w:eastAsia="宋体" w:cs="Times New Roman"/>
                <w:kern w:val="0"/>
                <w:sz w:val="21"/>
                <w:szCs w:val="21"/>
              </w:rPr>
            </w:pPr>
            <w:r>
              <w:rPr>
                <w:rFonts w:hint="eastAsia" w:ascii="宋体" w:hAnsi="宋体" w:eastAsia="宋体" w:cs="Times New Roman"/>
                <w:kern w:val="0"/>
                <w:sz w:val="21"/>
                <w:szCs w:val="21"/>
              </w:rPr>
              <w:t>3.球墨铸铁材质产品的防腐材料符合卫生标准，涂层均匀，且须提供生产厂家相关证明素材的现场喷涂图片，符合的得</w:t>
            </w:r>
            <w:r>
              <w:rPr>
                <w:rFonts w:hint="eastAsia" w:ascii="宋体" w:hAnsi="宋体" w:eastAsia="宋体" w:cs="Times New Roman"/>
                <w:kern w:val="0"/>
                <w:sz w:val="21"/>
                <w:szCs w:val="21"/>
                <w:lang w:eastAsia="zh-CN"/>
              </w:rPr>
              <w:t>2</w:t>
            </w:r>
            <w:r>
              <w:rPr>
                <w:rFonts w:hint="eastAsia" w:ascii="宋体" w:hAnsi="宋体" w:eastAsia="宋体" w:cs="Times New Roman"/>
                <w:kern w:val="0"/>
                <w:sz w:val="21"/>
                <w:szCs w:val="21"/>
              </w:rPr>
              <w:t>分，无不得分。</w:t>
            </w:r>
          </w:p>
          <w:p>
            <w:pPr>
              <w:widowControl/>
              <w:snapToGrid w:val="0"/>
              <w:spacing w:line="360" w:lineRule="auto"/>
              <w:ind w:firstLine="210" w:firstLineChars="100"/>
              <w:jc w:val="left"/>
              <w:rPr>
                <w:rFonts w:hint="default"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4.紧固件采用单边拧紧方式，产品上设置止转结构的得2分，其他设计的得1分（须提供有关证明，否则不得分）</w:t>
            </w:r>
          </w:p>
        </w:tc>
        <w:tc>
          <w:tcPr>
            <w:tcW w:w="1176"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firstLine="210" w:firstLineChars="100"/>
              <w:jc w:val="left"/>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rPr>
              <w:t>0-10分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0" w:hRule="atLeast"/>
          <w:jc w:val="center"/>
        </w:trPr>
        <w:tc>
          <w:tcPr>
            <w:tcW w:w="797" w:type="dxa"/>
            <w:tcBorders>
              <w:top w:val="single" w:color="auto" w:sz="4" w:space="0"/>
              <w:left w:val="single" w:color="auto" w:sz="4" w:space="0"/>
              <w:right w:val="single" w:color="auto" w:sz="4" w:space="0"/>
            </w:tcBorders>
            <w:vAlign w:val="center"/>
          </w:tcPr>
          <w:p>
            <w:pPr>
              <w:spacing w:line="550" w:lineRule="exact"/>
              <w:ind w:left="0" w:leftChars="0" w:firstLine="0" w:firstLineChars="0"/>
              <w:jc w:val="center"/>
              <w:rPr>
                <w:rFonts w:hint="default" w:asciiTheme="minorEastAsia" w:hAnsiTheme="minorEastAsia" w:eastAsiaTheme="minorEastAsia" w:cstheme="minorEastAsia"/>
                <w:bCs/>
                <w:color w:val="000000"/>
                <w:sz w:val="24"/>
                <w:lang w:val="en-US" w:eastAsia="zh-CN"/>
              </w:rPr>
            </w:pPr>
            <w:r>
              <w:rPr>
                <w:rFonts w:hint="eastAsia" w:asciiTheme="minorEastAsia" w:hAnsiTheme="minorEastAsia" w:eastAsiaTheme="minorEastAsia" w:cstheme="minorEastAsia"/>
                <w:bCs/>
                <w:color w:val="000000"/>
                <w:sz w:val="24"/>
                <w:lang w:val="en-US" w:eastAsia="zh-CN"/>
              </w:rPr>
              <w:t>5</w:t>
            </w:r>
          </w:p>
        </w:tc>
        <w:tc>
          <w:tcPr>
            <w:tcW w:w="1515" w:type="dxa"/>
            <w:tcBorders>
              <w:top w:val="single" w:color="auto" w:sz="4" w:space="0"/>
              <w:left w:val="single" w:color="auto" w:sz="4" w:space="0"/>
              <w:right w:val="single" w:color="auto" w:sz="4" w:space="0"/>
            </w:tcBorders>
            <w:vAlign w:val="center"/>
          </w:tcPr>
          <w:p>
            <w:pPr>
              <w:widowControl/>
              <w:snapToGrid w:val="0"/>
              <w:spacing w:line="360" w:lineRule="auto"/>
              <w:ind w:left="0" w:leftChars="0" w:firstLine="0" w:firstLineChars="0"/>
              <w:jc w:val="left"/>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生产制造工艺</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0" w:leftChars="0" w:firstLine="0" w:firstLineChars="0"/>
              <w:jc w:val="left"/>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根据投标人拥有的生产设备情况、投标产品性能、质量控制、材料控制、生产工艺、方案的整体描述进行评分：方案完整、合理的得7-5.1分；方案基本完整、合理的得5-3.1分；方案一般的得3-1分；没有不得分。</w:t>
            </w:r>
          </w:p>
        </w:tc>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0-7分</w:t>
            </w:r>
          </w:p>
          <w:p>
            <w:pPr>
              <w:widowControl/>
              <w:spacing w:line="240" w:lineRule="auto"/>
              <w:ind w:firstLine="0" w:firstLineChars="0"/>
              <w:jc w:val="center"/>
              <w:textAlignment w:val="center"/>
              <w:rPr>
                <w:rFonts w:hint="default" w:ascii="宋体" w:hAnsi="宋体" w:eastAsia="宋体" w:cs="Times New Roman"/>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0" w:hRule="atLeast"/>
          <w:jc w:val="center"/>
        </w:trPr>
        <w:tc>
          <w:tcPr>
            <w:tcW w:w="797" w:type="dxa"/>
            <w:tcBorders>
              <w:top w:val="single" w:color="auto" w:sz="4" w:space="0"/>
              <w:left w:val="single" w:color="auto" w:sz="4" w:space="0"/>
              <w:right w:val="single" w:color="auto" w:sz="4" w:space="0"/>
            </w:tcBorders>
            <w:vAlign w:val="center"/>
          </w:tcPr>
          <w:p>
            <w:pPr>
              <w:spacing w:line="550" w:lineRule="exact"/>
              <w:ind w:left="0" w:leftChars="0" w:firstLine="0" w:firstLineChars="0"/>
              <w:jc w:val="center"/>
              <w:rPr>
                <w:rFonts w:hint="default" w:asciiTheme="minorEastAsia" w:hAnsiTheme="minorEastAsia" w:eastAsiaTheme="minorEastAsia" w:cstheme="minorEastAsia"/>
                <w:bCs/>
                <w:color w:val="000000"/>
                <w:sz w:val="24"/>
                <w:lang w:val="en-US" w:eastAsia="zh-CN"/>
              </w:rPr>
            </w:pPr>
            <w:r>
              <w:rPr>
                <w:rFonts w:hint="eastAsia" w:asciiTheme="minorEastAsia" w:hAnsiTheme="minorEastAsia" w:eastAsiaTheme="minorEastAsia" w:cstheme="minorEastAsia"/>
                <w:bCs/>
                <w:color w:val="000000"/>
                <w:sz w:val="24"/>
                <w:lang w:val="en-US" w:eastAsia="zh-CN"/>
              </w:rPr>
              <w:t>6</w:t>
            </w:r>
          </w:p>
        </w:tc>
        <w:tc>
          <w:tcPr>
            <w:tcW w:w="1515" w:type="dxa"/>
            <w:tcBorders>
              <w:top w:val="single" w:color="auto" w:sz="4" w:space="0"/>
              <w:left w:val="single" w:color="auto" w:sz="4" w:space="0"/>
              <w:right w:val="single" w:color="auto" w:sz="4" w:space="0"/>
            </w:tcBorders>
            <w:vAlign w:val="center"/>
          </w:tcPr>
          <w:p>
            <w:pPr>
              <w:pStyle w:val="72"/>
              <w:jc w:val="center"/>
              <w:rPr>
                <w:rFonts w:hint="eastAsia" w:asciiTheme="minorEastAsia" w:hAnsiTheme="minorEastAsia" w:eastAsiaTheme="minorEastAsia" w:cstheme="minorEastAsia"/>
                <w:bCs/>
                <w:color w:val="000000"/>
                <w:sz w:val="21"/>
                <w:szCs w:val="21"/>
              </w:rPr>
            </w:pPr>
            <w:r>
              <w:rPr>
                <w:rFonts w:hint="eastAsia" w:hAnsi="宋体" w:cs="Times New Roman"/>
                <w:sz w:val="21"/>
                <w:szCs w:val="21"/>
              </w:rPr>
              <w:t>供货方案</w:t>
            </w:r>
          </w:p>
        </w:tc>
        <w:tc>
          <w:tcPr>
            <w:tcW w:w="5995" w:type="dxa"/>
            <w:tcBorders>
              <w:top w:val="single" w:color="auto" w:sz="4" w:space="0"/>
              <w:left w:val="single" w:color="auto" w:sz="4" w:space="0"/>
              <w:bottom w:val="single" w:color="auto" w:sz="4" w:space="0"/>
              <w:right w:val="single" w:color="auto" w:sz="4" w:space="0"/>
            </w:tcBorders>
            <w:vAlign w:val="center"/>
          </w:tcPr>
          <w:p>
            <w:pPr>
              <w:pStyle w:val="72"/>
              <w:spacing w:line="400" w:lineRule="exact"/>
              <w:jc w:val="both"/>
              <w:rPr>
                <w:rFonts w:hint="eastAsia" w:eastAsia="宋体" w:asciiTheme="minorEastAsia" w:hAnsiTheme="minorEastAsia" w:cstheme="minorEastAsia"/>
                <w:b w:val="0"/>
                <w:bCs w:val="0"/>
                <w:color w:val="000000"/>
                <w:sz w:val="21"/>
                <w:szCs w:val="21"/>
                <w:lang w:eastAsia="zh-CN"/>
              </w:rPr>
            </w:pPr>
            <w:r>
              <w:rPr>
                <w:rFonts w:hint="eastAsia" w:hAnsi="宋体" w:cs="Times New Roman"/>
                <w:b w:val="0"/>
                <w:bCs w:val="0"/>
                <w:sz w:val="21"/>
                <w:szCs w:val="21"/>
              </w:rPr>
              <w:t>投标人的供货方案：供货方案对产品的供货计划、供货承诺与惩罚措施酌情打分（根据投标人的供货时间、供货保施的满足性，投标人的供货承诺与惩罚措施打分），没有不得分</w:t>
            </w:r>
            <w:r>
              <w:rPr>
                <w:rFonts w:hint="eastAsia" w:hAnsi="宋体" w:cs="Times New Roman"/>
                <w:b w:val="0"/>
                <w:bCs w:val="0"/>
                <w:sz w:val="21"/>
                <w:szCs w:val="21"/>
                <w:lang w:eastAsia="zh-CN"/>
              </w:rPr>
              <w:t>。</w:t>
            </w:r>
          </w:p>
        </w:tc>
        <w:tc>
          <w:tcPr>
            <w:tcW w:w="11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0-5分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550" w:lineRule="exact"/>
              <w:ind w:left="0" w:leftChars="0" w:firstLine="0" w:firstLineChars="0"/>
              <w:jc w:val="center"/>
              <w:rPr>
                <w:rFonts w:hint="eastAsia" w:asciiTheme="minorEastAsia" w:hAnsiTheme="minorEastAsia" w:eastAsiaTheme="minorEastAsia" w:cstheme="minorEastAsia"/>
                <w:bCs/>
                <w:color w:val="000000"/>
                <w:sz w:val="24"/>
                <w:lang w:val="en-US" w:eastAsia="zh-CN"/>
              </w:rPr>
            </w:pPr>
            <w:r>
              <w:rPr>
                <w:rFonts w:hint="eastAsia" w:asciiTheme="minorEastAsia" w:hAnsiTheme="minorEastAsia" w:eastAsiaTheme="minorEastAsia" w:cstheme="minorEastAsia"/>
                <w:bCs/>
                <w:color w:val="000000"/>
                <w:sz w:val="24"/>
                <w:lang w:val="en-US" w:eastAsia="zh-CN"/>
              </w:rPr>
              <w:t>7</w:t>
            </w:r>
          </w:p>
        </w:tc>
        <w:tc>
          <w:tcPr>
            <w:tcW w:w="151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0" w:firstLineChars="0"/>
              <w:jc w:val="center"/>
              <w:rPr>
                <w:rFonts w:ascii="宋体" w:hAnsi="宋体" w:eastAsia="宋体"/>
                <w:bCs/>
                <w:color w:val="000000"/>
                <w:kern w:val="2"/>
                <w:sz w:val="21"/>
                <w:szCs w:val="21"/>
              </w:rPr>
            </w:pPr>
            <w:bookmarkStart w:id="358" w:name="OLE_LINK4"/>
            <w:r>
              <w:rPr>
                <w:rFonts w:hint="eastAsia" w:ascii="宋体" w:hAnsi="宋体" w:eastAsia="宋体"/>
                <w:bCs/>
                <w:color w:val="000000"/>
                <w:kern w:val="0"/>
                <w:sz w:val="21"/>
                <w:szCs w:val="21"/>
              </w:rPr>
              <w:t>售后服务</w:t>
            </w:r>
          </w:p>
          <w:bookmarkEnd w:id="358"/>
          <w:p>
            <w:pPr>
              <w:ind w:firstLine="0" w:firstLineChars="0"/>
              <w:rPr>
                <w:rFonts w:hint="eastAsia" w:asciiTheme="minorEastAsia" w:hAnsiTheme="minorEastAsia" w:eastAsiaTheme="minorEastAsia" w:cstheme="minorEastAsia"/>
                <w:bCs/>
                <w:color w:val="000000"/>
                <w:sz w:val="21"/>
                <w:szCs w:val="21"/>
                <w:lang w:val="en-US" w:eastAsia="zh-CN"/>
              </w:rPr>
            </w:pPr>
          </w:p>
        </w:tc>
        <w:tc>
          <w:tcPr>
            <w:tcW w:w="5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bidi w:val="0"/>
              <w:adjustRightInd/>
              <w:snapToGrid/>
              <w:spacing w:line="312" w:lineRule="auto"/>
              <w:ind w:firstLine="0" w:firstLineChars="0"/>
              <w:textAlignment w:val="auto"/>
              <w:rPr>
                <w:rFonts w:hint="eastAsia" w:ascii="宋体" w:hAnsi="宋体" w:eastAsia="宋体"/>
                <w:color w:val="000000"/>
                <w:kern w:val="2"/>
                <w:sz w:val="21"/>
                <w:szCs w:val="21"/>
                <w:lang w:eastAsia="zh-CN"/>
              </w:rPr>
            </w:pPr>
            <w:r>
              <w:rPr>
                <w:rFonts w:hint="eastAsia" w:ascii="宋体" w:hAnsi="宋体" w:eastAsia="宋体"/>
                <w:color w:val="000000"/>
                <w:kern w:val="0"/>
                <w:sz w:val="21"/>
                <w:szCs w:val="21"/>
              </w:rPr>
              <w:t>（1）根据售后服务体系的完善性和真实性、售后服务体系的保障性（包括故障响应时间、故障修复承诺时间、应急服务措施、售后服务人员配置，并能提供完整售后服务记录、用户证明）等内容进行综合评议，完善且合理的得</w:t>
            </w:r>
            <w:r>
              <w:rPr>
                <w:rFonts w:hint="eastAsia" w:ascii="宋体" w:hAnsi="宋体" w:eastAsia="宋体"/>
                <w:color w:val="000000"/>
                <w:kern w:val="0"/>
                <w:sz w:val="21"/>
                <w:szCs w:val="21"/>
                <w:lang w:val="en-US" w:eastAsia="zh-CN"/>
              </w:rPr>
              <w:t>4-</w:t>
            </w:r>
            <w:r>
              <w:rPr>
                <w:rFonts w:hint="eastAsia" w:ascii="宋体" w:hAnsi="宋体" w:eastAsia="宋体"/>
                <w:color w:val="000000"/>
                <w:kern w:val="0"/>
                <w:sz w:val="21"/>
                <w:szCs w:val="21"/>
              </w:rPr>
              <w:t>3.1分，一般得</w:t>
            </w:r>
            <w:r>
              <w:rPr>
                <w:rFonts w:hint="eastAsia" w:ascii="宋体" w:hAnsi="宋体" w:eastAsia="宋体"/>
                <w:color w:val="000000"/>
                <w:kern w:val="0"/>
                <w:sz w:val="21"/>
                <w:szCs w:val="21"/>
                <w:lang w:val="en-US" w:eastAsia="zh-CN"/>
              </w:rPr>
              <w:t>3-2.1</w:t>
            </w:r>
            <w:r>
              <w:rPr>
                <w:rFonts w:hint="eastAsia" w:ascii="宋体" w:hAnsi="宋体" w:eastAsia="宋体"/>
                <w:color w:val="000000"/>
                <w:kern w:val="0"/>
                <w:sz w:val="21"/>
                <w:szCs w:val="21"/>
              </w:rPr>
              <w:t>分，较差不得分</w:t>
            </w:r>
            <w:r>
              <w:rPr>
                <w:rFonts w:hint="eastAsia" w:ascii="宋体" w:hAnsi="宋体" w:eastAsia="宋体"/>
                <w:color w:val="000000"/>
                <w:kern w:val="0"/>
                <w:sz w:val="21"/>
                <w:szCs w:val="21"/>
                <w:lang w:val="en-US" w:eastAsia="zh-CN"/>
              </w:rPr>
              <w:t>2-1</w:t>
            </w:r>
            <w:r>
              <w:rPr>
                <w:rFonts w:hint="eastAsia" w:ascii="宋体" w:hAnsi="宋体" w:eastAsia="宋体"/>
                <w:color w:val="000000"/>
                <w:kern w:val="0"/>
                <w:sz w:val="21"/>
                <w:szCs w:val="21"/>
              </w:rPr>
              <w:t>分</w:t>
            </w:r>
            <w:r>
              <w:rPr>
                <w:rFonts w:hint="eastAsia" w:ascii="宋体" w:hAnsi="宋体" w:eastAsia="宋体"/>
                <w:color w:val="000000"/>
                <w:kern w:val="0"/>
                <w:sz w:val="21"/>
                <w:szCs w:val="21"/>
                <w:lang w:val="en-US" w:eastAsia="zh-CN"/>
              </w:rPr>
              <w:t>，没有不得分</w:t>
            </w:r>
            <w:bookmarkStart w:id="359" w:name="OLE_LINK10"/>
            <w:r>
              <w:rPr>
                <w:rFonts w:hint="eastAsia" w:ascii="宋体" w:hAnsi="宋体" w:eastAsia="宋体"/>
                <w:color w:val="000000"/>
                <w:kern w:val="0"/>
                <w:sz w:val="21"/>
                <w:szCs w:val="21"/>
              </w:rPr>
              <w:t>（0-4分）</w:t>
            </w:r>
            <w:bookmarkEnd w:id="359"/>
            <w:r>
              <w:rPr>
                <w:rFonts w:hint="eastAsia" w:ascii="宋体" w:hAnsi="宋体" w:eastAsia="宋体"/>
                <w:color w:val="000000"/>
                <w:kern w:val="0"/>
                <w:sz w:val="21"/>
                <w:szCs w:val="21"/>
                <w:lang w:eastAsia="zh-CN"/>
              </w:rPr>
              <w:t>。</w:t>
            </w:r>
          </w:p>
          <w:p>
            <w:pPr>
              <w:pStyle w:val="34"/>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12" w:lineRule="auto"/>
              <w:ind w:left="0" w:leftChars="0" w:right="0" w:firstLine="0" w:firstLineChars="0"/>
              <w:jc w:val="left"/>
              <w:textAlignment w:val="auto"/>
              <w:rPr>
                <w:rFonts w:hint="default" w:ascii="宋体" w:hAnsi="宋体" w:eastAsia="宋体" w:cs="Times New Roman"/>
                <w:color w:val="000000"/>
                <w:kern w:val="0"/>
                <w:sz w:val="21"/>
                <w:szCs w:val="21"/>
                <w:lang w:val="en-US" w:eastAsia="zh-CN" w:bidi="ar-SA"/>
              </w:rPr>
            </w:pPr>
            <w:bookmarkStart w:id="360" w:name="OLE_LINK5"/>
            <w:r>
              <w:rPr>
                <w:rFonts w:hint="eastAsia" w:ascii="宋体" w:hAnsi="宋体" w:eastAsia="宋体" w:cs="Times New Roman"/>
                <w:color w:val="000000"/>
                <w:kern w:val="0"/>
                <w:sz w:val="21"/>
                <w:szCs w:val="21"/>
                <w:lang w:val="en-US" w:eastAsia="zh-CN" w:bidi="ar-SA"/>
              </w:rPr>
              <w:t>（2）为能保障在项目实施过程中的供货效率及应急能力：投标企业响应时承诺，中标后在金丽衢市范围内设有常驻服务和技术支持机构的2分；在金丽衢市范围内设自身仓储、物流得2分，提供承诺函格式自拟</w:t>
            </w:r>
            <w:r>
              <w:rPr>
                <w:rFonts w:hint="eastAsia" w:eastAsia="宋体" w:cs="Times New Roman"/>
                <w:color w:val="000000"/>
                <w:kern w:val="0"/>
                <w:sz w:val="21"/>
                <w:szCs w:val="21"/>
                <w:lang w:val="en-US" w:eastAsia="zh-CN" w:bidi="ar-SA"/>
              </w:rPr>
              <w:t>，</w:t>
            </w:r>
            <w:r>
              <w:rPr>
                <w:rFonts w:hint="eastAsia" w:ascii="宋体" w:hAnsi="宋体" w:eastAsia="宋体"/>
                <w:color w:val="000000"/>
                <w:kern w:val="0"/>
                <w:sz w:val="21"/>
                <w:szCs w:val="21"/>
              </w:rPr>
              <w:t>（0-4分）</w:t>
            </w:r>
          </w:p>
          <w:p>
            <w:pPr>
              <w:keepNext w:val="0"/>
              <w:keepLines w:val="0"/>
              <w:pageBreakBefore w:val="0"/>
              <w:kinsoku/>
              <w:wordWrap/>
              <w:overflowPunct/>
              <w:topLinePunct w:val="0"/>
              <w:autoSpaceDE w:val="0"/>
              <w:autoSpaceDN/>
              <w:bidi w:val="0"/>
              <w:adjustRightInd/>
              <w:snapToGrid/>
              <w:spacing w:line="312" w:lineRule="auto"/>
              <w:ind w:firstLine="0" w:firstLineChars="0"/>
              <w:textAlignment w:val="auto"/>
              <w:rPr>
                <w:rFonts w:hint="eastAsia" w:ascii="宋体" w:hAnsi="宋体" w:eastAsia="宋体" w:cs="Times New Roman"/>
                <w:color w:val="000000"/>
                <w:kern w:val="0"/>
                <w:sz w:val="21"/>
                <w:szCs w:val="21"/>
                <w:lang w:val="en-US" w:eastAsia="zh-CN" w:bidi="ar-SA"/>
              </w:rPr>
            </w:pPr>
            <w:r>
              <w:rPr>
                <w:rFonts w:hint="eastAsia" w:asciiTheme="minorEastAsia" w:hAnsiTheme="minorEastAsia" w:eastAsiaTheme="minorEastAsia" w:cstheme="minorEastAsia"/>
                <w:color w:val="000000"/>
                <w:kern w:val="0"/>
                <w:sz w:val="21"/>
                <w:szCs w:val="21"/>
              </w:rPr>
              <w:t>（提供以上证明材料，否则不得分）</w:t>
            </w:r>
          </w:p>
          <w:bookmarkEnd w:id="360"/>
          <w:p>
            <w:pPr>
              <w:keepNext w:val="0"/>
              <w:keepLines w:val="0"/>
              <w:pageBreakBefore w:val="0"/>
              <w:kinsoku/>
              <w:wordWrap/>
              <w:overflowPunct/>
              <w:topLinePunct w:val="0"/>
              <w:autoSpaceDE w:val="0"/>
              <w:autoSpaceDN/>
              <w:bidi w:val="0"/>
              <w:adjustRightInd/>
              <w:snapToGrid/>
              <w:spacing w:line="312" w:lineRule="auto"/>
              <w:ind w:firstLine="0" w:firstLineChars="0"/>
              <w:textAlignment w:val="auto"/>
              <w:rPr>
                <w:rFonts w:hint="eastAsia" w:asciiTheme="minorEastAsia" w:hAnsiTheme="minorEastAsia" w:eastAsiaTheme="minorEastAsia" w:cstheme="minorEastAsia"/>
                <w:bCs/>
                <w:color w:val="000000"/>
                <w:sz w:val="21"/>
                <w:szCs w:val="21"/>
                <w:lang w:val="en-US" w:eastAsia="zh-CN"/>
              </w:rPr>
            </w:pPr>
            <w:r>
              <w:rPr>
                <w:rFonts w:hint="eastAsia" w:ascii="宋体" w:hAnsi="宋体" w:eastAsia="宋体"/>
                <w:color w:val="000000"/>
                <w:kern w:val="0"/>
                <w:sz w:val="21"/>
                <w:szCs w:val="21"/>
              </w:rPr>
              <w:t>（</w:t>
            </w:r>
            <w:r>
              <w:rPr>
                <w:rFonts w:hint="eastAsia" w:ascii="宋体" w:hAnsi="宋体" w:eastAsia="宋体"/>
                <w:color w:val="000000"/>
                <w:kern w:val="0"/>
                <w:sz w:val="21"/>
                <w:szCs w:val="21"/>
                <w:lang w:val="en-US" w:eastAsia="zh-CN"/>
              </w:rPr>
              <w:t>3</w:t>
            </w:r>
            <w:r>
              <w:rPr>
                <w:rFonts w:hint="eastAsia" w:ascii="宋体" w:hAnsi="宋体" w:eastAsia="宋体"/>
                <w:color w:val="000000"/>
                <w:kern w:val="0"/>
                <w:sz w:val="21"/>
                <w:szCs w:val="21"/>
              </w:rPr>
              <w:t>）质保期（3年）超过采购文件规定的，每增加1年得1分，最高得2分。须提供质保期承诺书，未提供的不得分。</w:t>
            </w:r>
          </w:p>
        </w:tc>
        <w:tc>
          <w:tcPr>
            <w:tcW w:w="11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eastAsia="宋体" w:asciiTheme="minorEastAsia" w:hAnsiTheme="minorEastAsia" w:cstheme="minorEastAsia"/>
                <w:bCs/>
                <w:color w:val="000000"/>
                <w:sz w:val="24"/>
                <w:lang w:val="en-US" w:eastAsia="zh-CN"/>
              </w:rPr>
            </w:pPr>
            <w:r>
              <w:rPr>
                <w:rFonts w:hint="eastAsia" w:ascii="宋体" w:hAnsi="宋体" w:eastAsia="宋体" w:cs="Times New Roman"/>
                <w:kern w:val="0"/>
                <w:sz w:val="21"/>
                <w:szCs w:val="21"/>
                <w:lang w:val="en-US" w:eastAsia="zh-CN"/>
              </w:rPr>
              <w:t>0-10分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797" w:type="dxa"/>
            <w:tcBorders>
              <w:top w:val="single" w:color="auto" w:sz="4" w:space="0"/>
              <w:left w:val="single" w:color="auto" w:sz="4" w:space="0"/>
              <w:right w:val="single" w:color="auto" w:sz="4" w:space="0"/>
            </w:tcBorders>
            <w:vAlign w:val="center"/>
          </w:tcPr>
          <w:p>
            <w:pPr>
              <w:spacing w:line="550" w:lineRule="exact"/>
              <w:ind w:left="0" w:leftChars="0" w:firstLine="0" w:firstLineChars="0"/>
              <w:jc w:val="center"/>
              <w:rPr>
                <w:rFonts w:hint="default" w:asciiTheme="minorEastAsia" w:hAnsiTheme="minorEastAsia" w:eastAsiaTheme="minorEastAsia" w:cstheme="minorEastAsia"/>
                <w:bCs/>
                <w:color w:val="000000"/>
                <w:sz w:val="24"/>
                <w:lang w:val="en-US" w:eastAsia="zh-CN"/>
              </w:rPr>
            </w:pPr>
            <w:bookmarkStart w:id="361" w:name="_Toc9201"/>
            <w:r>
              <w:rPr>
                <w:rFonts w:hint="eastAsia" w:asciiTheme="minorEastAsia" w:hAnsiTheme="minorEastAsia" w:eastAsiaTheme="minorEastAsia" w:cstheme="minorEastAsia"/>
                <w:bCs/>
                <w:color w:val="000000"/>
                <w:sz w:val="24"/>
                <w:lang w:val="en-US" w:eastAsia="zh-CN"/>
              </w:rPr>
              <w:t>8</w:t>
            </w:r>
          </w:p>
        </w:tc>
        <w:tc>
          <w:tcPr>
            <w:tcW w:w="1515" w:type="dxa"/>
            <w:tcBorders>
              <w:top w:val="single" w:color="auto" w:sz="4" w:space="0"/>
              <w:left w:val="single" w:color="auto" w:sz="4" w:space="0"/>
              <w:right w:val="single" w:color="auto" w:sz="4" w:space="0"/>
            </w:tcBorders>
            <w:vAlign w:val="center"/>
          </w:tcPr>
          <w:p>
            <w:pPr>
              <w:autoSpaceDE w:val="0"/>
              <w:spacing w:line="312" w:lineRule="auto"/>
              <w:ind w:firstLine="0" w:firstLineChars="0"/>
              <w:jc w:val="center"/>
              <w:rPr>
                <w:rFonts w:hint="eastAsia" w:ascii="宋体" w:hAnsi="宋体" w:eastAsia="宋体" w:cs="Times New Roman"/>
                <w:color w:val="000000" w:themeColor="text1"/>
                <w:kern w:val="0"/>
                <w:sz w:val="21"/>
                <w:szCs w:val="21"/>
                <w:lang w:val="en-US" w:eastAsia="zh-CN"/>
                <w14:textFill>
                  <w14:solidFill>
                    <w14:schemeClr w14:val="tx1"/>
                  </w14:solidFill>
                </w14:textFill>
              </w:rPr>
            </w:pPr>
            <w:r>
              <w:rPr>
                <w:rFonts w:hint="eastAsia" w:ascii="宋体" w:hAnsi="宋体" w:eastAsia="宋体" w:cs="Times New Roman"/>
                <w:color w:val="000000" w:themeColor="text1"/>
                <w:kern w:val="0"/>
                <w:sz w:val="21"/>
                <w:szCs w:val="21"/>
                <w:lang w:eastAsia="zh-CN"/>
                <w14:textFill>
                  <w14:solidFill>
                    <w14:schemeClr w14:val="tx1"/>
                  </w14:solidFill>
                </w14:textFill>
              </w:rPr>
              <w:t>样品</w:t>
            </w:r>
          </w:p>
        </w:tc>
        <w:tc>
          <w:tcPr>
            <w:tcW w:w="5995" w:type="dxa"/>
            <w:tcBorders>
              <w:top w:val="single" w:color="auto" w:sz="4" w:space="0"/>
              <w:left w:val="single" w:color="auto" w:sz="4" w:space="0"/>
              <w:bottom w:val="single" w:color="auto" w:sz="4" w:space="0"/>
              <w:right w:val="single" w:color="auto" w:sz="4" w:space="0"/>
            </w:tcBorders>
            <w:vAlign w:val="center"/>
          </w:tcPr>
          <w:p>
            <w:pPr>
              <w:autoSpaceDE w:val="0"/>
              <w:spacing w:line="312" w:lineRule="auto"/>
              <w:ind w:firstLine="0" w:firstLineChars="0"/>
              <w:jc w:val="left"/>
              <w:rPr>
                <w:rFonts w:hint="eastAsia" w:ascii="宋体" w:hAnsi="宋体" w:eastAsia="宋体" w:cs="Times New Roman"/>
                <w:color w:val="000000" w:themeColor="text1"/>
                <w:kern w:val="0"/>
                <w:sz w:val="21"/>
                <w:szCs w:val="21"/>
                <w:lang w:val="en-US" w:eastAsia="zh-CN"/>
                <w14:textFill>
                  <w14:solidFill>
                    <w14:schemeClr w14:val="tx1"/>
                  </w14:solidFill>
                </w14:textFill>
              </w:rPr>
            </w:pPr>
            <w:r>
              <w:rPr>
                <w:rFonts w:hint="eastAsia" w:ascii="宋体" w:hAnsi="宋体" w:eastAsia="宋体" w:cs="Times New Roman"/>
                <w:color w:val="000000" w:themeColor="text1"/>
                <w:kern w:val="0"/>
                <w:sz w:val="21"/>
                <w:szCs w:val="21"/>
                <w:lang w:val="en-US" w:eastAsia="zh-CN"/>
                <w14:textFill>
                  <w14:solidFill>
                    <w14:schemeClr w14:val="tx1"/>
                  </w14:solidFill>
                </w14:textFill>
              </w:rPr>
              <w:t>样品由评标委员根据样品的外观、规格、工艺等制作方面在分值范围内酌情打分，为提供不得分（按采购内容中注明产品提供样品）</w:t>
            </w:r>
          </w:p>
          <w:p>
            <w:pPr>
              <w:autoSpaceDE w:val="0"/>
              <w:spacing w:line="312" w:lineRule="auto"/>
              <w:ind w:firstLine="0" w:firstLineChars="0"/>
              <w:jc w:val="left"/>
              <w:rPr>
                <w:rFonts w:hint="eastAsia" w:ascii="宋体" w:hAnsi="宋体" w:eastAsia="宋体" w:cs="Times New Roman"/>
                <w:color w:val="auto"/>
                <w:kern w:val="0"/>
                <w:sz w:val="21"/>
                <w:szCs w:val="21"/>
                <w:lang w:val="en-US" w:eastAsia="zh-CN"/>
              </w:rPr>
            </w:pPr>
            <w:r>
              <w:rPr>
                <w:rFonts w:hint="eastAsia" w:ascii="宋体" w:hAnsi="宋体" w:eastAsia="宋体" w:cs="Times New Roman"/>
                <w:color w:val="000000" w:themeColor="text1"/>
                <w:kern w:val="0"/>
                <w:sz w:val="21"/>
                <w:szCs w:val="21"/>
                <w:lang w:val="en-US" w:eastAsia="zh-CN"/>
                <w14:textFill>
                  <w14:solidFill>
                    <w14:schemeClr w14:val="tx1"/>
                  </w14:solidFill>
                </w14:textFill>
              </w:rPr>
              <w:t>（1）根据样品外观，评</w:t>
            </w:r>
            <w:r>
              <w:rPr>
                <w:rFonts w:hint="eastAsia" w:ascii="宋体" w:hAnsi="宋体" w:eastAsia="宋体" w:cs="Times New Roman"/>
                <w:color w:val="auto"/>
                <w:kern w:val="0"/>
                <w:sz w:val="21"/>
                <w:szCs w:val="21"/>
                <w:lang w:val="en-US" w:eastAsia="zh-CN"/>
              </w:rPr>
              <w:t>分2-3分；</w:t>
            </w:r>
          </w:p>
          <w:p>
            <w:pPr>
              <w:autoSpaceDE w:val="0"/>
              <w:spacing w:line="312" w:lineRule="auto"/>
              <w:ind w:firstLine="0" w:firstLineChars="0"/>
              <w:jc w:val="left"/>
              <w:rPr>
                <w:rFonts w:hint="eastAsia" w:ascii="宋体" w:hAnsi="宋体" w:eastAsia="宋体" w:cs="Times New Roman"/>
                <w:color w:val="auto"/>
                <w:kern w:val="0"/>
                <w:sz w:val="21"/>
                <w:szCs w:val="21"/>
                <w:lang w:val="en-US" w:eastAsia="zh-CN"/>
              </w:rPr>
            </w:pPr>
            <w:r>
              <w:rPr>
                <w:rFonts w:hint="eastAsia" w:ascii="宋体" w:hAnsi="宋体" w:eastAsia="宋体" w:cs="Times New Roman"/>
                <w:color w:val="auto"/>
                <w:kern w:val="0"/>
                <w:sz w:val="21"/>
                <w:szCs w:val="21"/>
                <w:lang w:val="en-US" w:eastAsia="zh-CN"/>
              </w:rPr>
              <w:t>（2）根据产品结构设计的合理性，评分2-4分；</w:t>
            </w:r>
          </w:p>
          <w:p>
            <w:pPr>
              <w:autoSpaceDE w:val="0"/>
              <w:spacing w:line="312" w:lineRule="auto"/>
              <w:ind w:firstLine="0" w:firstLineChars="0"/>
              <w:jc w:val="left"/>
              <w:rPr>
                <w:rFonts w:hint="eastAsia" w:ascii="宋体" w:hAnsi="宋体" w:eastAsia="宋体" w:cs="Times New Roman"/>
                <w:color w:val="auto"/>
                <w:kern w:val="0"/>
                <w:sz w:val="21"/>
                <w:szCs w:val="21"/>
                <w:lang w:val="en-US" w:eastAsia="zh-CN"/>
              </w:rPr>
            </w:pPr>
            <w:r>
              <w:rPr>
                <w:rFonts w:hint="eastAsia" w:ascii="宋体" w:hAnsi="宋体" w:eastAsia="宋体" w:cs="Times New Roman"/>
                <w:color w:val="auto"/>
                <w:kern w:val="0"/>
                <w:sz w:val="21"/>
                <w:szCs w:val="21"/>
                <w:lang w:val="en-US" w:eastAsia="zh-CN"/>
              </w:rPr>
              <w:t>（3）根据产品质量可靠性能，评分2-4分；</w:t>
            </w:r>
          </w:p>
          <w:p>
            <w:pPr>
              <w:autoSpaceDE w:val="0"/>
              <w:spacing w:line="312" w:lineRule="auto"/>
              <w:ind w:firstLine="0" w:firstLineChars="0"/>
              <w:jc w:val="left"/>
              <w:rPr>
                <w:rFonts w:hint="eastAsia"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auto"/>
                <w:kern w:val="0"/>
                <w:sz w:val="21"/>
                <w:szCs w:val="21"/>
                <w:lang w:val="en-US" w:eastAsia="zh-CN"/>
              </w:rPr>
              <w:t>（4）根据壳体和橡胶垫材质，评分2-4分；</w:t>
            </w:r>
          </w:p>
        </w:tc>
        <w:tc>
          <w:tcPr>
            <w:tcW w:w="1176" w:type="dxa"/>
            <w:tcBorders>
              <w:top w:val="single" w:color="auto" w:sz="4" w:space="0"/>
              <w:left w:val="single" w:color="auto" w:sz="4" w:space="0"/>
              <w:bottom w:val="single" w:color="auto" w:sz="4" w:space="0"/>
              <w:right w:val="single" w:color="auto" w:sz="4" w:space="0"/>
            </w:tcBorders>
            <w:vAlign w:val="center"/>
          </w:tcPr>
          <w:p>
            <w:pPr>
              <w:autoSpaceDE w:val="0"/>
              <w:spacing w:line="312" w:lineRule="auto"/>
              <w:ind w:firstLine="0" w:firstLineChars="0"/>
              <w:jc w:val="center"/>
              <w:rPr>
                <w:rFonts w:hint="eastAsia" w:ascii="宋体" w:hAnsi="宋体" w:eastAsia="宋体" w:cs="Times New Roman"/>
                <w:color w:val="000000" w:themeColor="text1"/>
                <w:kern w:val="0"/>
                <w:sz w:val="21"/>
                <w:szCs w:val="21"/>
                <w14:textFill>
                  <w14:solidFill>
                    <w14:schemeClr w14:val="tx1"/>
                  </w14:solidFill>
                </w14:textFill>
              </w:rPr>
            </w:pPr>
            <w:r>
              <w:rPr>
                <w:rFonts w:hint="eastAsia" w:ascii="宋体" w:hAnsi="宋体" w:eastAsia="宋体" w:cs="Times New Roman"/>
                <w:color w:val="000000" w:themeColor="text1"/>
                <w:kern w:val="0"/>
                <w:sz w:val="21"/>
                <w:szCs w:val="21"/>
                <w:lang w:val="en-US" w:eastAsia="zh-CN"/>
                <w14:textFill>
                  <w14:solidFill>
                    <w14:schemeClr w14:val="tx1"/>
                  </w14:solidFill>
                </w14:textFill>
              </w:rPr>
              <w:t>0-15分</w:t>
            </w:r>
          </w:p>
        </w:tc>
      </w:tr>
    </w:tbl>
    <w:p>
      <w:pPr>
        <w:widowControl/>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注：1.技术部分由评标专家负责，采用记名方式各自评分，此项评分为全部有效评分的算术平均值。如某一份评分表中某一项评分，超过评标细则所规定的分值范围，则该张打分表无效。</w:t>
      </w:r>
    </w:p>
    <w:p>
      <w:pPr>
        <w:widowControl/>
        <w:numPr>
          <w:ilvl w:val="0"/>
          <w:numId w:val="9"/>
        </w:numPr>
        <w:ind w:firstLine="413" w:firstLineChars="196"/>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以上内容评分时保留一位小数。计算评分值时保留二位小数。</w:t>
      </w:r>
    </w:p>
    <w:p>
      <w:pPr>
        <w:widowControl/>
        <w:numPr>
          <w:ilvl w:val="0"/>
          <w:numId w:val="0"/>
        </w:numPr>
        <w:ind w:firstLine="422" w:firstLineChars="200"/>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3.表内有关证明文件要求：（1）</w:t>
      </w:r>
      <w:r>
        <w:rPr>
          <w:rFonts w:hint="eastAsia" w:ascii="宋体" w:hAnsi="宋体" w:eastAsia="宋体" w:cs="宋体"/>
          <w:b/>
          <w:bCs/>
          <w:color w:val="000000" w:themeColor="text1"/>
          <w:sz w:val="21"/>
          <w:szCs w:val="21"/>
          <w14:textFill>
            <w14:solidFill>
              <w14:schemeClr w14:val="tx1"/>
            </w14:solidFill>
          </w14:textFill>
        </w:rPr>
        <w:t>以上涉及的证明材料</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提供原价</w:t>
      </w:r>
      <w:r>
        <w:rPr>
          <w:rFonts w:hint="eastAsia" w:ascii="宋体" w:hAnsi="宋体" w:eastAsia="宋体" w:cs="宋体"/>
          <w:b/>
          <w:bCs/>
          <w:color w:val="000000" w:themeColor="text1"/>
          <w:sz w:val="21"/>
          <w:szCs w:val="21"/>
          <w:lang w:val="en-US" w:eastAsia="zh-CN"/>
          <w14:textFill>
            <w14:solidFill>
              <w14:schemeClr w14:val="tx1"/>
            </w14:solidFill>
          </w14:textFill>
        </w:rPr>
        <w:t>复制件</w:t>
      </w:r>
      <w:r>
        <w:rPr>
          <w:rFonts w:hint="eastAsia" w:ascii="宋体" w:hAnsi="宋体" w:eastAsia="宋体" w:cs="宋体"/>
          <w:b/>
          <w:bCs/>
          <w:color w:val="000000" w:themeColor="text1"/>
          <w:sz w:val="21"/>
          <w:szCs w:val="21"/>
          <w14:textFill>
            <w14:solidFill>
              <w14:schemeClr w14:val="tx1"/>
            </w14:solidFill>
          </w14:textFill>
        </w:rPr>
        <w:t>或</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标识网查询截图</w:t>
      </w:r>
      <w:r>
        <w:rPr>
          <w:rFonts w:hint="eastAsia" w:ascii="宋体" w:hAnsi="宋体" w:eastAsia="宋体" w:cs="宋体"/>
          <w:b/>
          <w:bCs/>
          <w:color w:val="000000" w:themeColor="text1"/>
          <w:sz w:val="21"/>
          <w:szCs w:val="21"/>
          <w14:textFill>
            <w14:solidFill>
              <w14:schemeClr w14:val="tx1"/>
            </w14:solidFill>
          </w14:textFill>
        </w:rPr>
        <w:t>并</w:t>
      </w:r>
      <w:r>
        <w:rPr>
          <w:rFonts w:hint="eastAsia" w:ascii="宋体" w:hAnsi="宋体" w:eastAsia="宋体" w:cs="宋体"/>
          <w:b/>
          <w:bCs/>
          <w:color w:val="000000" w:themeColor="text1"/>
          <w:sz w:val="21"/>
          <w:szCs w:val="21"/>
          <w:lang w:val="zh-CN"/>
          <w14:textFill>
            <w14:solidFill>
              <w14:schemeClr w14:val="tx1"/>
            </w14:solidFill>
          </w14:textFill>
        </w:rPr>
        <w:t>加盖公章即可</w:t>
      </w:r>
      <w:r>
        <w:rPr>
          <w:rFonts w:hint="eastAsia" w:ascii="宋体" w:hAnsi="宋体" w:eastAsia="宋体" w:cs="宋体"/>
          <w:b/>
          <w:bCs/>
          <w:color w:val="000000" w:themeColor="text1"/>
          <w:sz w:val="21"/>
          <w:szCs w:val="21"/>
          <w14:textFill>
            <w14:solidFill>
              <w14:schemeClr w14:val="tx1"/>
            </w14:solidFill>
          </w14:textFill>
        </w:rPr>
        <w:t>，原件自带备查</w:t>
      </w:r>
      <w:r>
        <w:rPr>
          <w:rFonts w:hint="eastAsia" w:asciiTheme="minorEastAsia" w:hAnsiTheme="minorEastAsia" w:eastAsiaTheme="minorEastAsia" w:cstheme="minorEastAsia"/>
          <w:b/>
          <w:sz w:val="21"/>
          <w:szCs w:val="21"/>
        </w:rPr>
        <w:t>；（2）不提供或者不能提供有效证明的，不得分。</w:t>
      </w:r>
    </w:p>
    <w:p>
      <w:pPr>
        <w:spacing w:line="360" w:lineRule="auto"/>
        <w:ind w:firstLine="0" w:firstLineChars="0"/>
        <w:jc w:val="center"/>
        <w:outlineLvl w:val="1"/>
        <w:rPr>
          <w:rFonts w:ascii="宋体" w:hAnsi="宋体" w:eastAsia="宋体" w:cs="宋体"/>
          <w:b/>
          <w:bCs/>
          <w:lang w:val="zh-CN"/>
        </w:rPr>
      </w:pPr>
      <w:r>
        <w:rPr>
          <w:rFonts w:hint="eastAsia" w:ascii="宋体" w:hAnsi="宋体" w:eastAsia="宋体" w:cs="宋体"/>
          <w:b/>
          <w:bCs/>
          <w:lang w:val="zh-CN"/>
        </w:rPr>
        <w:t>五、开评标程序</w:t>
      </w:r>
      <w:bookmarkEnd w:id="361"/>
    </w:p>
    <w:p>
      <w:pPr>
        <w:spacing w:line="360" w:lineRule="auto"/>
        <w:ind w:firstLine="480"/>
        <w:rPr>
          <w:rFonts w:ascii="宋体" w:hAnsi="宋体" w:eastAsia="宋体" w:cs="宋体"/>
          <w:sz w:val="21"/>
          <w:szCs w:val="21"/>
        </w:rPr>
      </w:pPr>
      <w:r>
        <w:rPr>
          <w:rFonts w:hint="eastAsia" w:ascii="宋体" w:hAnsi="宋体" w:eastAsia="宋体" w:cs="宋体"/>
          <w:sz w:val="21"/>
          <w:szCs w:val="21"/>
        </w:rPr>
        <w:t>1.主持人宣布投标截止时间，截止时间以国家授时中心标准时间为准，宣布招标会议开始。</w:t>
      </w:r>
    </w:p>
    <w:p>
      <w:pPr>
        <w:spacing w:line="360" w:lineRule="auto"/>
        <w:ind w:firstLine="480"/>
        <w:rPr>
          <w:rFonts w:ascii="宋体" w:hAnsi="宋体" w:eastAsia="宋体" w:cs="宋体"/>
          <w:sz w:val="21"/>
          <w:szCs w:val="21"/>
        </w:rPr>
      </w:pPr>
      <w:r>
        <w:rPr>
          <w:rFonts w:hint="eastAsia" w:ascii="宋体" w:hAnsi="宋体" w:eastAsia="宋体" w:cs="宋体"/>
          <w:sz w:val="21"/>
          <w:szCs w:val="21"/>
        </w:rPr>
        <w:t>2.采购人或代理机构确认供应商递交标书等情况。</w:t>
      </w:r>
    </w:p>
    <w:p>
      <w:pPr>
        <w:spacing w:line="360" w:lineRule="auto"/>
        <w:ind w:firstLine="480"/>
        <w:rPr>
          <w:rFonts w:ascii="宋体" w:hAnsi="宋体" w:eastAsia="宋体" w:cs="宋体"/>
          <w:sz w:val="21"/>
          <w:szCs w:val="21"/>
        </w:rPr>
      </w:pPr>
      <w:r>
        <w:rPr>
          <w:rFonts w:hint="eastAsia" w:ascii="宋体" w:hAnsi="宋体" w:eastAsia="宋体" w:cs="宋体"/>
          <w:sz w:val="21"/>
          <w:szCs w:val="21"/>
        </w:rPr>
        <w:t>3.采购人或代理机构检查各供应商的标函密封、标记情况。</w:t>
      </w:r>
    </w:p>
    <w:p>
      <w:pPr>
        <w:spacing w:line="360" w:lineRule="auto"/>
        <w:ind w:firstLine="480"/>
        <w:rPr>
          <w:rFonts w:ascii="宋体" w:hAnsi="宋体" w:eastAsia="宋体" w:cs="宋体"/>
          <w:sz w:val="21"/>
          <w:szCs w:val="21"/>
        </w:rPr>
      </w:pPr>
      <w:r>
        <w:rPr>
          <w:rFonts w:hint="eastAsia" w:ascii="宋体" w:hAnsi="宋体" w:eastAsia="宋体" w:cs="宋体"/>
          <w:sz w:val="21"/>
          <w:szCs w:val="21"/>
        </w:rPr>
        <w:t>4.启封各供应商的资信技术文件，送评标委员会进行独立评审。如有疑问，可对投标人进行询标，投标人要向评标委员会澄清有关问题，并最终以书面版形式进行答复。评委对各供应商资信及技术打分。</w:t>
      </w:r>
    </w:p>
    <w:p>
      <w:pPr>
        <w:spacing w:line="360" w:lineRule="auto"/>
        <w:ind w:firstLine="480"/>
        <w:rPr>
          <w:rFonts w:ascii="宋体" w:hAnsi="宋体" w:eastAsia="宋体" w:cs="宋体"/>
          <w:sz w:val="21"/>
          <w:szCs w:val="21"/>
        </w:rPr>
      </w:pPr>
      <w:r>
        <w:rPr>
          <w:rFonts w:hint="eastAsia" w:ascii="宋体" w:hAnsi="宋体" w:eastAsia="宋体" w:cs="宋体"/>
          <w:sz w:val="21"/>
          <w:szCs w:val="21"/>
        </w:rPr>
        <w:t>5.当众拆封各供应商的商务报价文件，并宣布各供应商商务报价，并送评标委员会进行审查。如有疑问，可对投标人进行书面</w:t>
      </w:r>
      <w:r>
        <w:rPr>
          <w:rFonts w:hint="eastAsia" w:ascii="宋体" w:hAnsi="宋体" w:eastAsia="宋体" w:cs="宋体"/>
          <w:sz w:val="21"/>
          <w:szCs w:val="21"/>
          <w:lang w:val="en-US" w:eastAsia="zh-CN"/>
        </w:rPr>
        <w:t>或</w:t>
      </w:r>
      <w:r>
        <w:rPr>
          <w:rFonts w:hint="eastAsia" w:ascii="宋体" w:hAnsi="宋体" w:eastAsia="宋体" w:cs="宋体"/>
          <w:sz w:val="21"/>
          <w:szCs w:val="21"/>
        </w:rPr>
        <w:t>电话询标，投标人要向评标委员会澄清有关问题，并最终以书面形式进行答复。</w:t>
      </w:r>
    </w:p>
    <w:p>
      <w:pPr>
        <w:spacing w:line="360" w:lineRule="auto"/>
        <w:ind w:firstLine="480"/>
        <w:rPr>
          <w:rFonts w:ascii="宋体" w:hAnsi="宋体" w:eastAsia="宋体" w:cs="宋体"/>
          <w:sz w:val="21"/>
          <w:szCs w:val="21"/>
        </w:rPr>
      </w:pPr>
      <w:r>
        <w:rPr>
          <w:rFonts w:hint="eastAsia" w:ascii="宋体" w:hAnsi="宋体" w:eastAsia="宋体" w:cs="宋体"/>
          <w:sz w:val="21"/>
          <w:szCs w:val="21"/>
        </w:rPr>
        <w:t>6.最后计算出各供应商的商务报价得分，在现场监督人员的监督下，进行复核，然后加计总分后当场公布各供应商的各项得分及总分，评标委员会按评标办法和细则规定推荐</w:t>
      </w:r>
      <w:r>
        <w:rPr>
          <w:rFonts w:hint="eastAsia" w:ascii="宋体" w:hAnsi="宋体" w:eastAsia="宋体" w:cs="宋体"/>
          <w:sz w:val="21"/>
          <w:szCs w:val="21"/>
          <w:lang w:val="en-US" w:eastAsia="zh-CN"/>
        </w:rPr>
        <w:t>2</w:t>
      </w:r>
      <w:r>
        <w:rPr>
          <w:rFonts w:hint="eastAsia" w:ascii="宋体" w:hAnsi="宋体" w:eastAsia="宋体" w:cs="宋体"/>
          <w:sz w:val="21"/>
          <w:szCs w:val="21"/>
        </w:rPr>
        <w:t>名中标候选人。</w:t>
      </w:r>
    </w:p>
    <w:p>
      <w:pPr>
        <w:spacing w:line="360" w:lineRule="auto"/>
        <w:ind w:firstLine="482"/>
        <w:jc w:val="center"/>
        <w:outlineLvl w:val="1"/>
        <w:rPr>
          <w:rFonts w:ascii="宋体" w:hAnsi="宋体" w:eastAsia="宋体" w:cs="宋体"/>
          <w:b/>
          <w:bCs/>
          <w:sz w:val="21"/>
          <w:szCs w:val="21"/>
        </w:rPr>
      </w:pPr>
      <w:bookmarkStart w:id="362" w:name="_Toc2211"/>
      <w:r>
        <w:rPr>
          <w:rFonts w:hint="eastAsia" w:ascii="宋体" w:hAnsi="宋体" w:eastAsia="宋体" w:cs="宋体"/>
          <w:b/>
          <w:bCs/>
          <w:sz w:val="21"/>
          <w:szCs w:val="21"/>
        </w:rPr>
        <w:t>六、定标办法</w:t>
      </w:r>
      <w:bookmarkEnd w:id="362"/>
    </w:p>
    <w:p>
      <w:pPr>
        <w:spacing w:line="360" w:lineRule="auto"/>
        <w:ind w:firstLine="480"/>
        <w:rPr>
          <w:rFonts w:ascii="宋体" w:hAnsi="宋体" w:eastAsia="宋体" w:cs="宋体"/>
          <w:sz w:val="21"/>
          <w:szCs w:val="21"/>
        </w:rPr>
      </w:pPr>
      <w:r>
        <w:rPr>
          <w:rFonts w:hint="eastAsia" w:ascii="宋体" w:hAnsi="宋体" w:eastAsia="宋体" w:cs="宋体"/>
          <w:sz w:val="21"/>
          <w:szCs w:val="21"/>
        </w:rPr>
        <w:t>1、评标委员会根据评标办法进行评标，并向采购人提交评标报告，评标报告由全体评标委员会成员签字后有效。</w:t>
      </w:r>
    </w:p>
    <w:p>
      <w:pPr>
        <w:spacing w:line="360" w:lineRule="auto"/>
        <w:ind w:firstLine="480"/>
        <w:rPr>
          <w:rFonts w:ascii="宋体" w:hAnsi="宋体" w:eastAsia="宋体" w:cs="宋体"/>
          <w:sz w:val="21"/>
          <w:szCs w:val="21"/>
        </w:rPr>
      </w:pPr>
      <w:r>
        <w:rPr>
          <w:rFonts w:hint="eastAsia" w:ascii="宋体" w:hAnsi="宋体" w:eastAsia="宋体" w:cs="宋体"/>
          <w:sz w:val="21"/>
          <w:szCs w:val="21"/>
        </w:rPr>
        <w:t>2、评标委员会应在评标报告中推荐综合评分</w:t>
      </w:r>
      <w:r>
        <w:rPr>
          <w:rFonts w:hint="eastAsia" w:ascii="宋体" w:hAnsi="宋体" w:eastAsia="宋体" w:cs="宋体"/>
          <w:sz w:val="21"/>
          <w:szCs w:val="21"/>
          <w:lang w:val="en-US" w:eastAsia="zh-CN"/>
        </w:rPr>
        <w:t>前2</w:t>
      </w:r>
      <w:r>
        <w:rPr>
          <w:rFonts w:hint="eastAsia" w:ascii="宋体" w:hAnsi="宋体" w:eastAsia="宋体" w:cs="宋体"/>
          <w:sz w:val="21"/>
          <w:szCs w:val="21"/>
        </w:rPr>
        <w:t>名的投标人为中标候选人。</w:t>
      </w:r>
    </w:p>
    <w:p>
      <w:pPr>
        <w:spacing w:line="360" w:lineRule="auto"/>
        <w:ind w:firstLine="480"/>
        <w:rPr>
          <w:rFonts w:ascii="宋体" w:hAnsi="宋体" w:eastAsia="宋体" w:cs="宋体"/>
          <w:sz w:val="21"/>
          <w:szCs w:val="21"/>
        </w:rPr>
      </w:pPr>
      <w:r>
        <w:rPr>
          <w:rFonts w:hint="eastAsia" w:ascii="宋体" w:hAnsi="宋体" w:eastAsia="宋体" w:cs="宋体"/>
          <w:sz w:val="21"/>
          <w:szCs w:val="21"/>
        </w:rPr>
        <w:t>3、定标由采购人负责，应坚持评审小组推荐的</w:t>
      </w:r>
      <w:r>
        <w:rPr>
          <w:rFonts w:hint="eastAsia" w:ascii="宋体" w:hAnsi="宋体" w:eastAsia="宋体" w:cs="宋体"/>
          <w:sz w:val="21"/>
          <w:szCs w:val="21"/>
          <w:lang w:val="en-US" w:eastAsia="zh-CN"/>
        </w:rPr>
        <w:t>第一</w:t>
      </w:r>
      <w:r>
        <w:rPr>
          <w:rFonts w:hint="eastAsia" w:ascii="宋体" w:hAnsi="宋体" w:eastAsia="宋体" w:cs="宋体"/>
          <w:sz w:val="21"/>
          <w:szCs w:val="21"/>
        </w:rPr>
        <w:t>中标候选人为中标人。但如出现下列情形之一的，采购人可以按照综合</w:t>
      </w:r>
      <w:r>
        <w:rPr>
          <w:rFonts w:ascii="宋体" w:hAnsi="宋体" w:eastAsia="宋体" w:cs="宋体"/>
          <w:sz w:val="21"/>
          <w:szCs w:val="21"/>
        </w:rPr>
        <w:t>评分从高到低</w:t>
      </w:r>
      <w:r>
        <w:rPr>
          <w:rFonts w:hint="eastAsia" w:ascii="宋体" w:hAnsi="宋体" w:eastAsia="宋体" w:cs="宋体"/>
          <w:sz w:val="21"/>
          <w:szCs w:val="21"/>
        </w:rPr>
        <w:t>确定中标人：</w:t>
      </w:r>
    </w:p>
    <w:p>
      <w:pPr>
        <w:spacing w:line="360" w:lineRule="auto"/>
        <w:ind w:firstLine="480"/>
        <w:rPr>
          <w:rFonts w:ascii="宋体" w:hAnsi="宋体" w:eastAsia="宋体" w:cs="宋体"/>
          <w:sz w:val="21"/>
          <w:szCs w:val="21"/>
        </w:rPr>
      </w:pPr>
      <w:r>
        <w:rPr>
          <w:rFonts w:hint="eastAsia" w:ascii="宋体" w:hAnsi="宋体" w:eastAsia="宋体" w:cs="宋体"/>
          <w:sz w:val="21"/>
          <w:szCs w:val="21"/>
        </w:rPr>
        <w:t>（1）第一的候选投标人，因自身原因放弃中标成交或因不可抗力不能履行合同的；</w:t>
      </w:r>
    </w:p>
    <w:p>
      <w:pPr>
        <w:spacing w:line="360" w:lineRule="auto"/>
        <w:ind w:firstLine="480"/>
        <w:rPr>
          <w:rFonts w:ascii="宋体" w:hAnsi="宋体" w:eastAsia="宋体" w:cs="宋体"/>
          <w:sz w:val="21"/>
          <w:szCs w:val="21"/>
        </w:rPr>
      </w:pPr>
      <w:r>
        <w:rPr>
          <w:rFonts w:hint="eastAsia" w:ascii="宋体" w:hAnsi="宋体" w:eastAsia="宋体" w:cs="宋体"/>
          <w:sz w:val="21"/>
          <w:szCs w:val="21"/>
        </w:rPr>
        <w:t>（2）经质疑，采购组织机构审查确认因第一的候选投标人在本次采购活动中存在违法违规行为或其他原因使质疑成立的。</w:t>
      </w:r>
    </w:p>
    <w:p>
      <w:pPr>
        <w:spacing w:line="360" w:lineRule="auto"/>
        <w:ind w:firstLine="480"/>
        <w:rPr>
          <w:rFonts w:ascii="宋体" w:hAnsi="宋体" w:eastAsia="宋体" w:cs="宋体"/>
          <w:sz w:val="21"/>
          <w:szCs w:val="21"/>
        </w:rPr>
      </w:pPr>
      <w:r>
        <w:rPr>
          <w:rFonts w:hint="eastAsia" w:ascii="宋体" w:hAnsi="宋体" w:eastAsia="宋体" w:cs="宋体"/>
          <w:sz w:val="21"/>
          <w:szCs w:val="21"/>
        </w:rPr>
        <w:t>（3）《采购文件》规定应当提交履约保证金而在规定的期限内未能提交的，采购人可以取消其中标资格，并按照综合</w:t>
      </w:r>
      <w:r>
        <w:rPr>
          <w:rFonts w:ascii="宋体" w:hAnsi="宋体" w:eastAsia="宋体" w:cs="宋体"/>
          <w:sz w:val="21"/>
          <w:szCs w:val="21"/>
        </w:rPr>
        <w:t>评分从高到低</w:t>
      </w:r>
      <w:r>
        <w:rPr>
          <w:rFonts w:hint="eastAsia" w:ascii="宋体" w:hAnsi="宋体" w:eastAsia="宋体" w:cs="宋体"/>
          <w:sz w:val="21"/>
          <w:szCs w:val="21"/>
        </w:rPr>
        <w:t>确定中标人，新的中标人继续适用于本条款，或者重新组织采购。如果替补的中标候选人同样存在不符合中标资格情况的，依次</w:t>
      </w:r>
      <w:r>
        <w:rPr>
          <w:rFonts w:ascii="宋体" w:hAnsi="宋体" w:eastAsia="宋体" w:cs="宋体"/>
          <w:sz w:val="21"/>
          <w:szCs w:val="21"/>
        </w:rPr>
        <w:t>类推，</w:t>
      </w:r>
      <w:r>
        <w:rPr>
          <w:rFonts w:hint="eastAsia" w:ascii="宋体" w:hAnsi="宋体" w:eastAsia="宋体" w:cs="宋体"/>
          <w:sz w:val="21"/>
          <w:szCs w:val="21"/>
        </w:rPr>
        <w:t>没有</w:t>
      </w:r>
      <w:r>
        <w:rPr>
          <w:rFonts w:ascii="宋体" w:hAnsi="宋体" w:eastAsia="宋体" w:cs="宋体"/>
          <w:sz w:val="21"/>
          <w:szCs w:val="21"/>
        </w:rPr>
        <w:t>中标人的</w:t>
      </w:r>
      <w:r>
        <w:rPr>
          <w:rFonts w:hint="eastAsia" w:ascii="宋体" w:hAnsi="宋体" w:eastAsia="宋体" w:cs="宋体"/>
          <w:sz w:val="21"/>
          <w:szCs w:val="21"/>
        </w:rPr>
        <w:t>本项目重新招标。</w:t>
      </w:r>
    </w:p>
    <w:p>
      <w:pPr>
        <w:spacing w:line="360" w:lineRule="auto"/>
        <w:ind w:firstLine="482"/>
        <w:jc w:val="center"/>
        <w:outlineLvl w:val="1"/>
        <w:rPr>
          <w:rFonts w:ascii="宋体" w:hAnsi="宋体" w:eastAsia="宋体" w:cs="宋体"/>
          <w:b/>
          <w:bCs/>
          <w:sz w:val="21"/>
          <w:szCs w:val="21"/>
        </w:rPr>
      </w:pPr>
      <w:bookmarkStart w:id="363" w:name="_Toc1836"/>
      <w:r>
        <w:rPr>
          <w:rFonts w:hint="eastAsia" w:ascii="宋体" w:hAnsi="宋体" w:eastAsia="宋体" w:cs="宋体"/>
          <w:b/>
          <w:bCs/>
          <w:sz w:val="21"/>
          <w:szCs w:val="21"/>
        </w:rPr>
        <w:t>七、投标人义务</w:t>
      </w:r>
      <w:bookmarkEnd w:id="363"/>
    </w:p>
    <w:p>
      <w:pPr>
        <w:spacing w:line="360" w:lineRule="auto"/>
        <w:ind w:firstLine="480"/>
        <w:rPr>
          <w:rFonts w:ascii="宋体" w:hAnsi="宋体" w:eastAsia="宋体" w:cs="宋体"/>
          <w:sz w:val="21"/>
          <w:szCs w:val="21"/>
        </w:rPr>
      </w:pPr>
      <w:r>
        <w:rPr>
          <w:rFonts w:hint="eastAsia" w:ascii="宋体" w:hAnsi="宋体" w:eastAsia="宋体" w:cs="宋体"/>
          <w:sz w:val="21"/>
          <w:szCs w:val="21"/>
        </w:rPr>
        <w:t>评标期间，投标人应随时随地答复评标委员会的询标，解答包括有关的商务、技术问题等。</w:t>
      </w:r>
    </w:p>
    <w:p>
      <w:pPr>
        <w:spacing w:line="360" w:lineRule="auto"/>
        <w:ind w:firstLine="0" w:firstLineChars="0"/>
        <w:rPr>
          <w:rFonts w:ascii="宋体" w:hAnsi="宋体" w:eastAsia="宋体" w:cs="宋体"/>
          <w:color w:val="000000"/>
          <w:sz w:val="21"/>
          <w:szCs w:val="21"/>
          <w:lang w:val="zh-CN"/>
        </w:rPr>
      </w:pPr>
    </w:p>
    <w:p>
      <w:pPr>
        <w:spacing w:line="360" w:lineRule="auto"/>
        <w:ind w:firstLine="0" w:firstLineChars="0"/>
        <w:rPr>
          <w:rFonts w:ascii="宋体" w:hAnsi="宋体" w:eastAsia="宋体" w:cs="宋体"/>
        </w:rPr>
      </w:pPr>
      <w:r>
        <w:rPr>
          <w:rFonts w:hint="eastAsia" w:ascii="宋体" w:hAnsi="宋体" w:eastAsia="宋体" w:cs="宋体"/>
          <w:color w:val="000000"/>
          <w:lang w:val="zh-CN"/>
        </w:rPr>
        <w:br w:type="page"/>
      </w:r>
    </w:p>
    <w:p>
      <w:pPr>
        <w:pStyle w:val="4"/>
        <w:spacing w:before="335" w:after="335"/>
        <w:rPr>
          <w:rFonts w:ascii="宋体" w:hAnsi="宋体" w:eastAsia="宋体" w:cs="宋体"/>
        </w:rPr>
      </w:pPr>
      <w:bookmarkStart w:id="364" w:name="_Toc9103"/>
      <w:bookmarkStart w:id="365" w:name="_Toc22571"/>
      <w:bookmarkStart w:id="366" w:name="_Toc5463"/>
      <w:bookmarkStart w:id="367" w:name="_Toc3635"/>
      <w:bookmarkStart w:id="368" w:name="_Toc3844"/>
      <w:bookmarkStart w:id="369" w:name="_Toc12495"/>
      <w:bookmarkStart w:id="370" w:name="_Toc7964"/>
      <w:bookmarkStart w:id="371" w:name="_Toc6862"/>
      <w:r>
        <w:rPr>
          <w:rFonts w:hint="eastAsia" w:ascii="宋体" w:hAnsi="宋体" w:eastAsia="宋体" w:cs="宋体"/>
          <w:lang w:val="zh-CN"/>
        </w:rPr>
        <w:t>第六章</w:t>
      </w:r>
      <w:r>
        <w:rPr>
          <w:rFonts w:hint="eastAsia" w:ascii="宋体" w:hAnsi="宋体" w:eastAsia="宋体" w:cs="宋体"/>
        </w:rPr>
        <w:t xml:space="preserve">  应提交的有关格式范例</w:t>
      </w:r>
      <w:bookmarkEnd w:id="307"/>
      <w:bookmarkEnd w:id="308"/>
      <w:bookmarkEnd w:id="309"/>
      <w:bookmarkEnd w:id="310"/>
      <w:bookmarkEnd w:id="364"/>
      <w:bookmarkEnd w:id="365"/>
      <w:bookmarkEnd w:id="366"/>
      <w:bookmarkEnd w:id="367"/>
      <w:bookmarkEnd w:id="368"/>
      <w:bookmarkEnd w:id="369"/>
      <w:bookmarkEnd w:id="370"/>
      <w:bookmarkEnd w:id="371"/>
    </w:p>
    <w:p>
      <w:pPr>
        <w:ind w:firstLine="482"/>
        <w:jc w:val="center"/>
        <w:rPr>
          <w:rFonts w:ascii="宋体" w:hAnsi="宋体" w:eastAsia="宋体" w:cs="宋体"/>
          <w:b/>
          <w:bCs/>
          <w:sz w:val="32"/>
          <w:szCs w:val="32"/>
        </w:rPr>
      </w:pPr>
      <w:bookmarkStart w:id="372" w:name="_Toc28591"/>
      <w:bookmarkStart w:id="373" w:name="_Toc6687"/>
      <w:bookmarkStart w:id="374" w:name="_Toc6407"/>
      <w:r>
        <w:rPr>
          <w:rFonts w:hint="eastAsia" w:ascii="宋体" w:hAnsi="宋体" w:eastAsia="宋体" w:cs="宋体"/>
          <w:b/>
          <w:bCs/>
        </w:rPr>
        <w:t>一、投标文件外包装封面</w:t>
      </w:r>
      <w:bookmarkEnd w:id="372"/>
      <w:bookmarkEnd w:id="373"/>
      <w:bookmarkEnd w:id="374"/>
    </w:p>
    <w:p>
      <w:pPr>
        <w:spacing w:line="240" w:lineRule="auto"/>
        <w:ind w:firstLine="0" w:firstLineChars="0"/>
        <w:jc w:val="center"/>
        <w:outlineLvl w:val="0"/>
        <w:rPr>
          <w:rFonts w:hint="eastAsia" w:ascii="宋体" w:hAnsi="宋体" w:eastAsia="宋体" w:cs="宋体"/>
          <w:b/>
          <w:bCs/>
          <w:sz w:val="44"/>
          <w:szCs w:val="44"/>
          <w:lang w:eastAsia="zh-CN"/>
        </w:rPr>
      </w:pPr>
      <w:r>
        <w:rPr>
          <w:rFonts w:hint="eastAsia" w:ascii="宋体" w:hAnsi="宋体" w:eastAsia="宋体" w:cs="宋体"/>
          <w:b/>
          <w:bCs/>
          <w:sz w:val="52"/>
          <w:szCs w:val="52"/>
        </w:rPr>
        <w:t xml:space="preserve"> </w:t>
      </w:r>
      <w:r>
        <w:rPr>
          <w:rFonts w:hint="eastAsia" w:ascii="宋体" w:hAnsi="宋体" w:eastAsia="宋体" w:cs="宋体"/>
          <w:b/>
          <w:bCs/>
          <w:sz w:val="44"/>
          <w:szCs w:val="44"/>
          <w:lang w:eastAsia="zh-CN"/>
        </w:rPr>
        <w:t>2025年农村供水哈夫节采购项目</w:t>
      </w:r>
    </w:p>
    <w:p>
      <w:pPr>
        <w:ind w:firstLine="562"/>
        <w:rPr>
          <w:rFonts w:ascii="宋体" w:hAnsi="宋体" w:eastAsia="宋体" w:cs="宋体"/>
          <w:b/>
          <w:bCs/>
          <w:sz w:val="28"/>
          <w:szCs w:val="28"/>
        </w:rPr>
      </w:pPr>
    </w:p>
    <w:p>
      <w:pPr>
        <w:ind w:firstLine="0" w:firstLineChars="0"/>
        <w:rPr>
          <w:rFonts w:ascii="宋体" w:hAnsi="宋体" w:eastAsia="宋体" w:cs="宋体"/>
          <w:b/>
          <w:bCs/>
          <w:sz w:val="28"/>
          <w:szCs w:val="28"/>
        </w:rPr>
      </w:pPr>
    </w:p>
    <w:p>
      <w:pPr>
        <w:adjustRightInd w:val="0"/>
        <w:snapToGrid w:val="0"/>
        <w:spacing w:before="167" w:beforeLines="50" w:after="50"/>
        <w:ind w:firstLine="1440"/>
        <w:outlineLvl w:val="0"/>
        <w:rPr>
          <w:rFonts w:ascii="黑体" w:hAnsi="黑体" w:eastAsia="黑体"/>
          <w:sz w:val="72"/>
          <w:szCs w:val="72"/>
        </w:rPr>
      </w:pPr>
      <w:r>
        <w:rPr>
          <w:rFonts w:hint="eastAsia" w:ascii="黑体" w:hAnsi="黑体" w:eastAsia="黑体"/>
          <w:sz w:val="72"/>
          <w:szCs w:val="72"/>
        </w:rPr>
        <w:t xml:space="preserve">     </w:t>
      </w:r>
      <w:bookmarkStart w:id="375" w:name="_Toc24767"/>
      <w:bookmarkStart w:id="376" w:name="_Toc68"/>
      <w:r>
        <w:rPr>
          <w:rFonts w:hint="eastAsia" w:ascii="黑体" w:hAnsi="黑体" w:eastAsia="黑体"/>
          <w:sz w:val="72"/>
          <w:szCs w:val="72"/>
        </w:rPr>
        <w:t>投标</w:t>
      </w:r>
      <w:r>
        <w:rPr>
          <w:rFonts w:ascii="黑体" w:hAnsi="黑体" w:eastAsia="黑体"/>
          <w:sz w:val="72"/>
          <w:szCs w:val="72"/>
        </w:rPr>
        <w:t>文件</w:t>
      </w:r>
      <w:bookmarkEnd w:id="375"/>
      <w:bookmarkEnd w:id="376"/>
    </w:p>
    <w:p>
      <w:pPr>
        <w:adjustRightInd w:val="0"/>
        <w:snapToGrid w:val="0"/>
        <w:ind w:firstLine="640"/>
        <w:jc w:val="center"/>
        <w:rPr>
          <w:rFonts w:hAnsi="宋体"/>
          <w:bCs/>
          <w:sz w:val="32"/>
          <w:szCs w:val="72"/>
        </w:rPr>
      </w:pPr>
      <w:bookmarkStart w:id="377" w:name="_Toc476833084"/>
      <w:bookmarkStart w:id="378" w:name="_Toc457974261"/>
      <w:bookmarkStart w:id="379" w:name="_Toc452528640"/>
    </w:p>
    <w:p>
      <w:pPr>
        <w:adjustRightInd w:val="0"/>
        <w:snapToGrid w:val="0"/>
        <w:ind w:firstLine="0" w:firstLineChars="0"/>
        <w:jc w:val="center"/>
        <w:outlineLvl w:val="0"/>
        <w:rPr>
          <w:rFonts w:ascii="宋体" w:hAnsi="宋体" w:eastAsia="宋体" w:cs="宋体"/>
          <w:sz w:val="32"/>
          <w:szCs w:val="32"/>
        </w:rPr>
      </w:pPr>
      <w:bookmarkStart w:id="380" w:name="_Toc28037"/>
      <w:bookmarkStart w:id="381" w:name="_Toc1742"/>
      <w:r>
        <w:rPr>
          <w:rFonts w:hint="eastAsia" w:ascii="宋体" w:hAnsi="宋体" w:eastAsia="宋体" w:cs="宋体"/>
          <w:bCs/>
          <w:sz w:val="32"/>
          <w:szCs w:val="32"/>
        </w:rPr>
        <w:t>（</w:t>
      </w:r>
      <w:r>
        <w:rPr>
          <w:rFonts w:hint="eastAsia" w:ascii="宋体" w:hAnsi="宋体" w:eastAsia="宋体" w:cs="宋体"/>
          <w:b/>
          <w:sz w:val="32"/>
          <w:szCs w:val="32"/>
        </w:rPr>
        <w:t>资格审查文件/资信技术文件/报价文件</w:t>
      </w:r>
      <w:r>
        <w:rPr>
          <w:rFonts w:hint="eastAsia" w:ascii="宋体" w:hAnsi="宋体" w:eastAsia="宋体" w:cs="宋体"/>
          <w:bCs/>
          <w:sz w:val="32"/>
          <w:szCs w:val="32"/>
        </w:rPr>
        <w:t>）</w:t>
      </w:r>
      <w:bookmarkEnd w:id="377"/>
      <w:bookmarkEnd w:id="378"/>
      <w:bookmarkEnd w:id="379"/>
      <w:bookmarkEnd w:id="380"/>
      <w:bookmarkEnd w:id="381"/>
    </w:p>
    <w:p>
      <w:pPr>
        <w:adjustRightInd w:val="0"/>
        <w:snapToGrid w:val="0"/>
        <w:spacing w:before="167" w:beforeLines="50" w:after="50"/>
        <w:ind w:firstLine="640"/>
        <w:jc w:val="center"/>
        <w:rPr>
          <w:rFonts w:ascii="宋体" w:hAnsi="宋体" w:eastAsia="宋体" w:cs="宋体"/>
          <w:sz w:val="32"/>
          <w:szCs w:val="32"/>
        </w:rPr>
      </w:pPr>
    </w:p>
    <w:p>
      <w:pPr>
        <w:adjustRightInd w:val="0"/>
        <w:snapToGrid w:val="0"/>
        <w:spacing w:before="167" w:beforeLines="50" w:after="50"/>
        <w:ind w:firstLine="0" w:firstLineChars="0"/>
        <w:rPr>
          <w:rFonts w:ascii="宋体" w:hAnsi="宋体" w:eastAsia="宋体" w:cs="宋体"/>
          <w:b/>
          <w:bCs/>
          <w:sz w:val="28"/>
          <w:szCs w:val="28"/>
        </w:rPr>
      </w:pPr>
      <w:r>
        <w:rPr>
          <w:rFonts w:hint="eastAsia" w:ascii="宋体" w:hAnsi="宋体" w:eastAsia="宋体" w:cs="宋体"/>
          <w:sz w:val="32"/>
          <w:szCs w:val="32"/>
        </w:rPr>
        <w:t xml:space="preserve">            </w:t>
      </w:r>
    </w:p>
    <w:p>
      <w:pPr>
        <w:pStyle w:val="57"/>
        <w:spacing w:before="167" w:after="167" w:line="360" w:lineRule="auto"/>
        <w:ind w:firstLine="0" w:firstLineChars="0"/>
        <w:outlineLvl w:val="9"/>
        <w:rPr>
          <w:rFonts w:ascii="宋体" w:hAnsi="宋体" w:eastAsia="宋体" w:cs="宋体"/>
          <w:color w:val="000000"/>
          <w:sz w:val="30"/>
          <w:szCs w:val="30"/>
          <w:u w:val="single"/>
        </w:rPr>
      </w:pPr>
    </w:p>
    <w:p>
      <w:pPr>
        <w:snapToGrid w:val="0"/>
        <w:spacing w:line="480" w:lineRule="auto"/>
        <w:ind w:firstLine="1500" w:firstLineChars="500"/>
        <w:outlineLvl w:val="0"/>
        <w:rPr>
          <w:rFonts w:ascii="宋体" w:hAnsi="宋体" w:eastAsia="宋体" w:cs="宋体"/>
          <w:color w:val="000000"/>
          <w:sz w:val="30"/>
          <w:szCs w:val="30"/>
          <w:u w:val="single"/>
        </w:rPr>
      </w:pPr>
      <w:bookmarkStart w:id="382" w:name="_Toc1435"/>
      <w:bookmarkStart w:id="383" w:name="_Toc29931"/>
      <w:r>
        <w:rPr>
          <w:rFonts w:hint="eastAsia" w:ascii="宋体" w:hAnsi="宋体" w:eastAsia="宋体" w:cs="宋体"/>
          <w:color w:val="000000"/>
          <w:sz w:val="30"/>
          <w:szCs w:val="30"/>
        </w:rPr>
        <w:t>项目编号</w:t>
      </w:r>
      <w:r>
        <w:rPr>
          <w:rFonts w:hint="eastAsia" w:ascii="宋体" w:hAnsi="宋体" w:eastAsia="宋体" w:cs="宋体"/>
          <w:color w:val="000000"/>
          <w:sz w:val="30"/>
          <w:szCs w:val="30"/>
          <w:u w:val="single"/>
        </w:rPr>
        <w:t>：</w:t>
      </w:r>
      <w:bookmarkEnd w:id="382"/>
      <w:r>
        <w:rPr>
          <w:rFonts w:hint="eastAsia" w:ascii="宋体" w:hAnsi="宋体" w:eastAsia="宋体" w:cs="宋体"/>
          <w:sz w:val="30"/>
          <w:szCs w:val="30"/>
          <w:u w:val="single"/>
        </w:rPr>
        <w:t xml:space="preserve"> </w:t>
      </w:r>
      <w:bookmarkEnd w:id="383"/>
      <w:r>
        <w:rPr>
          <w:rFonts w:hint="eastAsia" w:ascii="宋体" w:hAnsi="宋体" w:eastAsia="宋体" w:cs="宋体"/>
          <w:sz w:val="30"/>
          <w:szCs w:val="30"/>
          <w:u w:val="single"/>
          <w:lang w:eastAsia="zh-CN"/>
        </w:rPr>
        <w:t xml:space="preserve">LYCG2025TY-018 </w:t>
      </w:r>
      <w:r>
        <w:rPr>
          <w:rFonts w:hint="eastAsia" w:ascii="宋体" w:hAnsi="宋体" w:eastAsia="宋体" w:cs="宋体"/>
          <w:sz w:val="30"/>
          <w:szCs w:val="30"/>
          <w:u w:val="single"/>
        </w:rPr>
        <w:t xml:space="preserve">                 </w:t>
      </w:r>
    </w:p>
    <w:p>
      <w:pPr>
        <w:snapToGrid w:val="0"/>
        <w:spacing w:line="480" w:lineRule="auto"/>
        <w:ind w:firstLine="1500" w:firstLineChars="500"/>
        <w:outlineLvl w:val="0"/>
        <w:rPr>
          <w:rFonts w:ascii="宋体" w:hAnsi="宋体" w:eastAsia="宋体" w:cs="宋体"/>
          <w:color w:val="000000"/>
          <w:sz w:val="30"/>
          <w:szCs w:val="30"/>
          <w:u w:val="single"/>
        </w:rPr>
      </w:pPr>
      <w:bookmarkStart w:id="384" w:name="_Toc13804"/>
      <w:bookmarkStart w:id="385" w:name="_Toc18427"/>
      <w:r>
        <w:rPr>
          <w:rFonts w:hint="eastAsia" w:ascii="宋体" w:hAnsi="宋体" w:eastAsia="宋体" w:cs="宋体"/>
          <w:color w:val="000000"/>
          <w:sz w:val="30"/>
          <w:szCs w:val="30"/>
        </w:rPr>
        <w:t>投标人名称：</w:t>
      </w:r>
      <w:r>
        <w:rPr>
          <w:rFonts w:hint="eastAsia" w:ascii="宋体" w:hAnsi="宋体" w:eastAsia="宋体" w:cs="宋体"/>
          <w:color w:val="000000"/>
          <w:sz w:val="30"/>
          <w:szCs w:val="30"/>
          <w:u w:val="single"/>
        </w:rPr>
        <w:t xml:space="preserve"> （盖章）</w:t>
      </w:r>
      <w:bookmarkEnd w:id="384"/>
      <w:bookmarkEnd w:id="385"/>
      <w:r>
        <w:rPr>
          <w:rFonts w:hint="eastAsia" w:ascii="宋体" w:hAnsi="宋体" w:eastAsia="宋体" w:cs="宋体"/>
          <w:color w:val="000000"/>
          <w:sz w:val="30"/>
          <w:szCs w:val="30"/>
          <w:u w:val="single"/>
        </w:rPr>
        <w:t xml:space="preserve">                    </w:t>
      </w:r>
    </w:p>
    <w:p>
      <w:pPr>
        <w:snapToGrid w:val="0"/>
        <w:spacing w:line="480" w:lineRule="auto"/>
        <w:ind w:firstLine="1500" w:firstLineChars="500"/>
        <w:outlineLvl w:val="0"/>
        <w:rPr>
          <w:rFonts w:ascii="宋体" w:hAnsi="宋体" w:eastAsia="宋体" w:cs="宋体"/>
          <w:color w:val="000000"/>
          <w:sz w:val="30"/>
          <w:szCs w:val="30"/>
        </w:rPr>
      </w:pPr>
      <w:bookmarkStart w:id="386" w:name="_Toc20344"/>
      <w:bookmarkStart w:id="387" w:name="_Toc24383"/>
      <w:r>
        <w:rPr>
          <w:rFonts w:hint="eastAsia" w:ascii="宋体" w:hAnsi="宋体" w:eastAsia="宋体" w:cs="宋体"/>
          <w:color w:val="000000"/>
          <w:sz w:val="30"/>
          <w:szCs w:val="30"/>
        </w:rPr>
        <w:t>法定代表人或授权委托人：</w:t>
      </w:r>
      <w:r>
        <w:rPr>
          <w:rFonts w:hint="eastAsia" w:ascii="宋体" w:hAnsi="宋体" w:eastAsia="宋体" w:cs="宋体"/>
          <w:color w:val="000000"/>
          <w:sz w:val="30"/>
          <w:szCs w:val="30"/>
          <w:u w:val="single"/>
        </w:rPr>
        <w:t>（签字或盖章）</w:t>
      </w:r>
      <w:bookmarkEnd w:id="386"/>
      <w:bookmarkEnd w:id="387"/>
      <w:r>
        <w:rPr>
          <w:rFonts w:hint="eastAsia" w:ascii="宋体" w:hAnsi="宋体" w:eastAsia="宋体" w:cs="宋体"/>
          <w:color w:val="000000"/>
          <w:sz w:val="30"/>
          <w:szCs w:val="30"/>
          <w:u w:val="single"/>
        </w:rPr>
        <w:t xml:space="preserve">   </w:t>
      </w:r>
    </w:p>
    <w:p>
      <w:pPr>
        <w:snapToGrid w:val="0"/>
        <w:spacing w:line="480" w:lineRule="auto"/>
        <w:ind w:firstLine="1500" w:firstLineChars="500"/>
        <w:outlineLvl w:val="0"/>
        <w:rPr>
          <w:rFonts w:ascii="宋体" w:hAnsi="宋体" w:eastAsia="宋体" w:cs="宋体"/>
          <w:color w:val="000000"/>
          <w:sz w:val="30"/>
          <w:szCs w:val="30"/>
          <w:u w:val="single"/>
        </w:rPr>
      </w:pPr>
      <w:bookmarkStart w:id="388" w:name="_Toc27733"/>
      <w:bookmarkStart w:id="389" w:name="_Toc2167"/>
      <w:r>
        <w:rPr>
          <w:rFonts w:hint="eastAsia" w:ascii="宋体" w:hAnsi="宋体" w:eastAsia="宋体" w:cs="宋体"/>
          <w:color w:val="000000"/>
          <w:sz w:val="30"/>
          <w:szCs w:val="30"/>
        </w:rPr>
        <w:t>投标人地址</w:t>
      </w:r>
      <w:r>
        <w:rPr>
          <w:rFonts w:hint="eastAsia" w:ascii="宋体" w:hAnsi="宋体" w:eastAsia="宋体" w:cs="宋体"/>
          <w:color w:val="000000"/>
          <w:sz w:val="30"/>
          <w:szCs w:val="30"/>
          <w:u w:val="single"/>
        </w:rPr>
        <w:t>：</w:t>
      </w:r>
      <w:bookmarkEnd w:id="388"/>
      <w:bookmarkEnd w:id="389"/>
      <w:r>
        <w:rPr>
          <w:rFonts w:hint="eastAsia" w:ascii="宋体" w:hAnsi="宋体" w:eastAsia="宋体" w:cs="宋体"/>
          <w:color w:val="000000"/>
          <w:sz w:val="30"/>
          <w:szCs w:val="30"/>
          <w:u w:val="single"/>
        </w:rPr>
        <w:t xml:space="preserve">                             </w:t>
      </w:r>
    </w:p>
    <w:p>
      <w:pPr>
        <w:adjustRightInd w:val="0"/>
        <w:snapToGrid w:val="0"/>
        <w:spacing w:before="167" w:beforeLines="50" w:after="50"/>
        <w:ind w:firstLine="0" w:firstLineChars="0"/>
        <w:jc w:val="center"/>
        <w:outlineLvl w:val="0"/>
        <w:rPr>
          <w:rFonts w:ascii="宋体" w:hAnsi="宋体" w:eastAsia="宋体" w:cs="宋体"/>
          <w:sz w:val="32"/>
          <w:szCs w:val="32"/>
        </w:rPr>
      </w:pPr>
      <w:bookmarkStart w:id="390" w:name="_Toc24110"/>
      <w:bookmarkStart w:id="391" w:name="_Toc7849"/>
      <w:r>
        <w:rPr>
          <w:rFonts w:hint="eastAsia" w:ascii="宋体" w:hAnsi="宋体" w:eastAsia="宋体" w:cs="宋体"/>
          <w:sz w:val="32"/>
          <w:szCs w:val="32"/>
        </w:rPr>
        <w:t>编制日期：   年   月   日</w:t>
      </w:r>
      <w:bookmarkEnd w:id="390"/>
      <w:bookmarkEnd w:id="391"/>
    </w:p>
    <w:p>
      <w:pPr>
        <w:snapToGrid w:val="0"/>
        <w:spacing w:before="167" w:beforeLines="50" w:after="50"/>
        <w:ind w:firstLine="562"/>
        <w:jc w:val="center"/>
        <w:rPr>
          <w:rFonts w:ascii="宋体" w:hAnsi="宋体" w:eastAsia="宋体" w:cs="宋体"/>
          <w:b/>
          <w:sz w:val="28"/>
          <w:szCs w:val="28"/>
        </w:rPr>
      </w:pPr>
      <w:r>
        <w:rPr>
          <w:rFonts w:hint="eastAsia" w:ascii="宋体" w:hAnsi="宋体" w:eastAsia="宋体" w:cs="宋体"/>
          <w:b/>
          <w:sz w:val="28"/>
          <w:szCs w:val="28"/>
          <w:u w:val="single"/>
        </w:rPr>
        <w:t>（响应截止时间）</w:t>
      </w:r>
      <w:r>
        <w:rPr>
          <w:rFonts w:hint="eastAsia" w:ascii="宋体" w:hAnsi="宋体" w:eastAsia="宋体" w:cs="宋体"/>
          <w:b/>
          <w:sz w:val="28"/>
          <w:szCs w:val="28"/>
        </w:rPr>
        <w:t>前不得启封</w:t>
      </w:r>
    </w:p>
    <w:p>
      <w:pPr>
        <w:keepNext/>
        <w:keepLines/>
        <w:ind w:firstLine="560"/>
        <w:jc w:val="center"/>
        <w:rPr>
          <w:rFonts w:ascii="宋体" w:hAnsi="宋体" w:eastAsia="宋体" w:cs="宋体"/>
          <w:sz w:val="28"/>
          <w:szCs w:val="28"/>
        </w:rPr>
      </w:pPr>
      <w:r>
        <w:rPr>
          <w:rFonts w:hint="eastAsia" w:ascii="宋体" w:hAnsi="宋体" w:eastAsia="宋体" w:cs="宋体"/>
          <w:sz w:val="28"/>
          <w:szCs w:val="28"/>
        </w:rPr>
        <w:br w:type="page"/>
      </w:r>
      <w:bookmarkStart w:id="392" w:name="_Toc84325982"/>
      <w:bookmarkStart w:id="393" w:name="_Toc81372965"/>
      <w:bookmarkStart w:id="394" w:name="_Toc80157776"/>
      <w:bookmarkStart w:id="395" w:name="_Toc81372788"/>
    </w:p>
    <w:p>
      <w:pPr>
        <w:snapToGrid w:val="0"/>
        <w:spacing w:before="167" w:beforeLines="50" w:after="50"/>
        <w:ind w:firstLine="482"/>
        <w:rPr>
          <w:rFonts w:ascii="宋体" w:hAnsi="宋体" w:eastAsia="宋体" w:cs="宋体"/>
          <w:b/>
          <w:bCs/>
        </w:rPr>
      </w:pPr>
      <w:r>
        <w:rPr>
          <w:rFonts w:hint="eastAsia" w:ascii="宋体" w:hAnsi="宋体" w:eastAsia="宋体" w:cs="宋体"/>
          <w:b/>
          <w:bCs/>
        </w:rPr>
        <w:t>正本/或副本</w:t>
      </w:r>
    </w:p>
    <w:p>
      <w:pPr>
        <w:snapToGrid w:val="0"/>
        <w:spacing w:before="167" w:beforeLines="50" w:after="50"/>
        <w:ind w:firstLine="482"/>
        <w:rPr>
          <w:rFonts w:ascii="宋体" w:hAnsi="宋体" w:eastAsia="宋体" w:cs="宋体"/>
          <w:b/>
          <w:bCs/>
        </w:rPr>
      </w:pPr>
    </w:p>
    <w:p>
      <w:pPr>
        <w:spacing w:line="240" w:lineRule="auto"/>
        <w:ind w:firstLine="0" w:firstLineChars="0"/>
        <w:jc w:val="center"/>
        <w:rPr>
          <w:rFonts w:hint="eastAsia" w:ascii="宋体" w:hAnsi="宋体" w:eastAsia="宋体" w:cs="宋体"/>
          <w:b/>
          <w:bCs/>
          <w:sz w:val="36"/>
          <w:szCs w:val="36"/>
          <w:lang w:eastAsia="zh-CN"/>
        </w:rPr>
      </w:pPr>
      <w:r>
        <w:rPr>
          <w:rFonts w:hint="eastAsia" w:ascii="宋体" w:hAnsi="宋体" w:eastAsia="宋体" w:cs="宋体"/>
          <w:b/>
          <w:bCs/>
          <w:sz w:val="36"/>
          <w:szCs w:val="36"/>
        </w:rPr>
        <w:t xml:space="preserve"> </w:t>
      </w:r>
      <w:r>
        <w:rPr>
          <w:rFonts w:hint="eastAsia" w:ascii="宋体" w:hAnsi="宋体" w:eastAsia="宋体" w:cs="宋体"/>
          <w:b/>
          <w:bCs/>
          <w:sz w:val="36"/>
          <w:szCs w:val="36"/>
          <w:lang w:eastAsia="zh-CN"/>
        </w:rPr>
        <w:t>2025年农村供水哈夫节采购项目</w:t>
      </w:r>
    </w:p>
    <w:p>
      <w:pPr>
        <w:ind w:firstLine="723"/>
        <w:jc w:val="center"/>
        <w:rPr>
          <w:rFonts w:ascii="宋体" w:hAnsi="宋体" w:eastAsia="宋体" w:cs="宋体"/>
          <w:b/>
          <w:bCs/>
          <w:sz w:val="36"/>
          <w:szCs w:val="36"/>
        </w:rPr>
      </w:pPr>
    </w:p>
    <w:p>
      <w:pPr>
        <w:ind w:firstLine="0" w:firstLineChars="0"/>
        <w:jc w:val="center"/>
        <w:rPr>
          <w:rFonts w:ascii="宋体" w:hAnsi="宋体" w:eastAsia="宋体" w:cs="宋体"/>
          <w:b/>
          <w:bCs/>
          <w:sz w:val="36"/>
          <w:szCs w:val="36"/>
        </w:rPr>
      </w:pPr>
    </w:p>
    <w:p>
      <w:pPr>
        <w:adjustRightInd w:val="0"/>
        <w:snapToGrid w:val="0"/>
        <w:spacing w:before="167" w:beforeLines="50" w:after="50"/>
        <w:ind w:firstLine="0" w:firstLineChars="0"/>
        <w:jc w:val="center"/>
        <w:rPr>
          <w:rFonts w:ascii="黑体" w:hAnsi="黑体" w:eastAsia="黑体"/>
          <w:sz w:val="72"/>
          <w:szCs w:val="72"/>
        </w:rPr>
      </w:pPr>
      <w:r>
        <w:rPr>
          <w:rFonts w:hint="eastAsia" w:ascii="黑体" w:hAnsi="黑体" w:eastAsia="黑体"/>
          <w:sz w:val="72"/>
          <w:szCs w:val="72"/>
        </w:rPr>
        <w:t>投标</w:t>
      </w:r>
      <w:r>
        <w:rPr>
          <w:rFonts w:ascii="黑体" w:hAnsi="黑体" w:eastAsia="黑体"/>
          <w:sz w:val="72"/>
          <w:szCs w:val="72"/>
        </w:rPr>
        <w:t>文件</w:t>
      </w:r>
    </w:p>
    <w:p>
      <w:pPr>
        <w:snapToGrid w:val="0"/>
        <w:spacing w:before="167" w:beforeLines="50" w:after="50"/>
        <w:ind w:firstLine="0" w:firstLineChars="0"/>
        <w:rPr>
          <w:rFonts w:ascii="宋体" w:hAnsi="宋体" w:eastAsia="宋体" w:cs="宋体"/>
          <w:b/>
          <w:bCs/>
          <w:sz w:val="36"/>
          <w:szCs w:val="36"/>
        </w:rPr>
      </w:pPr>
    </w:p>
    <w:p>
      <w:pPr>
        <w:ind w:firstLine="723"/>
        <w:jc w:val="center"/>
        <w:rPr>
          <w:rFonts w:ascii="宋体" w:hAnsi="宋体" w:eastAsia="宋体" w:cs="宋体"/>
          <w:b/>
          <w:bCs/>
          <w:sz w:val="36"/>
          <w:szCs w:val="36"/>
        </w:rPr>
      </w:pPr>
    </w:p>
    <w:p>
      <w:pPr>
        <w:snapToGrid w:val="0"/>
        <w:spacing w:before="167" w:beforeLines="50" w:after="50" w:line="240" w:lineRule="auto"/>
        <w:ind w:firstLine="0" w:firstLineChars="0"/>
        <w:jc w:val="center"/>
        <w:rPr>
          <w:rFonts w:ascii="宋体" w:hAnsi="宋体" w:eastAsia="宋体" w:cs="宋体"/>
          <w:b/>
          <w:bCs/>
          <w:sz w:val="36"/>
          <w:szCs w:val="36"/>
        </w:rPr>
      </w:pPr>
      <w:r>
        <w:rPr>
          <w:rFonts w:hint="eastAsia" w:ascii="宋体" w:hAnsi="宋体" w:eastAsia="宋体" w:cs="宋体"/>
          <w:b/>
          <w:bCs/>
          <w:sz w:val="36"/>
          <w:szCs w:val="36"/>
        </w:rPr>
        <w:t>（</w:t>
      </w:r>
      <w:r>
        <w:rPr>
          <w:rFonts w:hint="eastAsia" w:ascii="宋体" w:hAnsi="宋体" w:eastAsia="宋体" w:cs="宋体"/>
          <w:b/>
          <w:sz w:val="32"/>
          <w:szCs w:val="32"/>
        </w:rPr>
        <w:t>资格审查文件/资信技术文件/报价文件</w:t>
      </w:r>
      <w:r>
        <w:rPr>
          <w:rFonts w:hint="eastAsia" w:ascii="宋体" w:hAnsi="宋体" w:eastAsia="宋体" w:cs="宋体"/>
          <w:b/>
          <w:bCs/>
          <w:sz w:val="36"/>
          <w:szCs w:val="36"/>
        </w:rPr>
        <w:t>）</w:t>
      </w:r>
    </w:p>
    <w:p>
      <w:pPr>
        <w:snapToGrid w:val="0"/>
        <w:spacing w:before="167" w:beforeLines="50" w:after="50"/>
        <w:ind w:firstLine="602"/>
        <w:jc w:val="center"/>
        <w:rPr>
          <w:rFonts w:ascii="宋体" w:hAnsi="宋体" w:eastAsia="宋体" w:cs="宋体"/>
          <w:b/>
          <w:bCs/>
          <w:sz w:val="30"/>
          <w:szCs w:val="30"/>
        </w:rPr>
      </w:pPr>
    </w:p>
    <w:p>
      <w:pPr>
        <w:snapToGrid w:val="0"/>
        <w:spacing w:before="167" w:beforeLines="50" w:after="50" w:line="360" w:lineRule="auto"/>
        <w:ind w:firstLine="1340" w:firstLineChars="445"/>
        <w:rPr>
          <w:rFonts w:ascii="宋体" w:hAnsi="宋体" w:eastAsia="宋体" w:cs="宋体"/>
          <w:b/>
          <w:bCs/>
          <w:sz w:val="30"/>
          <w:szCs w:val="30"/>
        </w:rPr>
      </w:pPr>
    </w:p>
    <w:p>
      <w:pPr>
        <w:snapToGrid w:val="0"/>
        <w:spacing w:before="167" w:beforeLines="50" w:after="50" w:line="360" w:lineRule="auto"/>
        <w:ind w:firstLine="602"/>
        <w:rPr>
          <w:rFonts w:ascii="宋体" w:hAnsi="宋体" w:eastAsia="宋体" w:cs="宋体"/>
          <w:b/>
          <w:bCs/>
          <w:sz w:val="30"/>
          <w:szCs w:val="30"/>
        </w:rPr>
      </w:pPr>
    </w:p>
    <w:p>
      <w:pPr>
        <w:pStyle w:val="2"/>
        <w:ind w:left="0" w:leftChars="0" w:firstLine="0" w:firstLineChars="0"/>
      </w:pPr>
    </w:p>
    <w:p>
      <w:pPr>
        <w:ind w:firstLine="480"/>
        <w:rPr>
          <w:rFonts w:ascii="宋体" w:hAnsi="宋体" w:eastAsia="宋体" w:cs="宋体"/>
        </w:rPr>
      </w:pPr>
    </w:p>
    <w:p>
      <w:pPr>
        <w:pStyle w:val="15"/>
        <w:ind w:firstLine="482"/>
        <w:rPr>
          <w:rFonts w:ascii="宋体" w:hAnsi="宋体" w:eastAsia="宋体" w:cs="宋体"/>
          <w:b/>
        </w:rPr>
      </w:pPr>
    </w:p>
    <w:p>
      <w:pPr>
        <w:snapToGrid w:val="0"/>
        <w:spacing w:before="167" w:beforeLines="50" w:after="50" w:line="480" w:lineRule="auto"/>
        <w:ind w:firstLine="1340" w:firstLineChars="445"/>
        <w:rPr>
          <w:rFonts w:ascii="宋体" w:hAnsi="宋体" w:eastAsia="宋体" w:cs="宋体"/>
          <w:b/>
          <w:bCs/>
          <w:sz w:val="30"/>
          <w:szCs w:val="30"/>
        </w:rPr>
      </w:pPr>
      <w:r>
        <w:rPr>
          <w:rFonts w:hint="eastAsia" w:ascii="宋体" w:hAnsi="宋体" w:eastAsia="宋体" w:cs="宋体"/>
          <w:b/>
          <w:bCs/>
          <w:sz w:val="30"/>
          <w:szCs w:val="30"/>
        </w:rPr>
        <w:t>投标人</w:t>
      </w:r>
      <w:r>
        <w:rPr>
          <w:rFonts w:hint="eastAsia" w:ascii="宋体" w:hAnsi="宋体" w:eastAsia="宋体" w:cs="宋体"/>
          <w:b/>
          <w:bCs/>
          <w:sz w:val="30"/>
          <w:szCs w:val="30"/>
          <w:lang w:val="zh-CN"/>
        </w:rPr>
        <w:t>全称</w:t>
      </w:r>
      <w:r>
        <w:rPr>
          <w:rFonts w:hint="eastAsia" w:ascii="宋体" w:hAnsi="宋体" w:eastAsia="宋体" w:cs="宋体"/>
          <w:b/>
          <w:bCs/>
          <w:sz w:val="30"/>
          <w:szCs w:val="30"/>
        </w:rPr>
        <w:t>（盖章）：</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rPr>
        <w:t xml:space="preserve">  </w:t>
      </w:r>
    </w:p>
    <w:p>
      <w:pPr>
        <w:snapToGrid w:val="0"/>
        <w:spacing w:before="167" w:beforeLines="50" w:after="50" w:line="480" w:lineRule="auto"/>
        <w:ind w:firstLine="1343" w:firstLineChars="446"/>
        <w:rPr>
          <w:rFonts w:ascii="宋体" w:hAnsi="宋体" w:eastAsia="宋体" w:cs="宋体"/>
          <w:b/>
          <w:bCs/>
          <w:sz w:val="30"/>
          <w:szCs w:val="30"/>
        </w:rPr>
      </w:pPr>
      <w:r>
        <w:rPr>
          <w:rFonts w:hint="eastAsia" w:ascii="宋体" w:hAnsi="宋体" w:eastAsia="宋体" w:cs="宋体"/>
          <w:b/>
          <w:bCs/>
          <w:sz w:val="30"/>
          <w:szCs w:val="30"/>
        </w:rPr>
        <w:t>法定代表人或授权委托人：</w:t>
      </w:r>
      <w:r>
        <w:rPr>
          <w:rFonts w:hint="eastAsia" w:ascii="宋体" w:hAnsi="宋体" w:eastAsia="宋体" w:cs="宋体"/>
          <w:b/>
          <w:bCs/>
          <w:sz w:val="30"/>
          <w:szCs w:val="30"/>
          <w:u w:val="single"/>
        </w:rPr>
        <w:t xml:space="preserve">（签字或盖章）   </w:t>
      </w:r>
    </w:p>
    <w:p>
      <w:pPr>
        <w:snapToGrid w:val="0"/>
        <w:spacing w:before="167" w:beforeLines="50" w:after="50" w:line="480" w:lineRule="auto"/>
        <w:ind w:firstLine="1340" w:firstLineChars="445"/>
        <w:rPr>
          <w:rFonts w:ascii="宋体" w:hAnsi="宋体" w:eastAsia="宋体" w:cs="宋体"/>
          <w:b/>
          <w:bCs/>
          <w:sz w:val="30"/>
          <w:szCs w:val="30"/>
        </w:rPr>
      </w:pPr>
      <w:r>
        <w:rPr>
          <w:rFonts w:hint="eastAsia" w:ascii="宋体" w:hAnsi="宋体" w:eastAsia="宋体" w:cs="宋体"/>
          <w:b/>
          <w:bCs/>
          <w:sz w:val="30"/>
          <w:szCs w:val="30"/>
        </w:rPr>
        <w:t>投标人地址：</w:t>
      </w:r>
      <w:r>
        <w:rPr>
          <w:rFonts w:hint="eastAsia" w:ascii="宋体" w:hAnsi="宋体" w:eastAsia="宋体" w:cs="宋体"/>
          <w:b/>
          <w:bCs/>
          <w:sz w:val="30"/>
          <w:szCs w:val="30"/>
          <w:u w:val="single"/>
        </w:rPr>
        <w:t xml:space="preserve">                              </w:t>
      </w:r>
    </w:p>
    <w:p>
      <w:pPr>
        <w:snapToGrid w:val="0"/>
        <w:spacing w:before="167" w:beforeLines="50" w:after="50" w:line="360" w:lineRule="auto"/>
        <w:ind w:firstLine="602"/>
        <w:jc w:val="center"/>
        <w:rPr>
          <w:rFonts w:ascii="宋体" w:hAnsi="宋体" w:eastAsia="宋体" w:cs="宋体"/>
          <w:b/>
          <w:bCs/>
          <w:sz w:val="30"/>
          <w:szCs w:val="30"/>
        </w:rPr>
      </w:pPr>
      <w:r>
        <w:rPr>
          <w:rFonts w:hint="eastAsia" w:ascii="宋体" w:hAnsi="宋体" w:eastAsia="宋体" w:cs="宋体"/>
          <w:b/>
          <w:bCs/>
          <w:sz w:val="30"/>
          <w:szCs w:val="30"/>
        </w:rPr>
        <w:t xml:space="preserve"> 年  月  日</w:t>
      </w:r>
    </w:p>
    <w:bookmarkEnd w:id="392"/>
    <w:bookmarkEnd w:id="393"/>
    <w:bookmarkEnd w:id="394"/>
    <w:bookmarkEnd w:id="395"/>
    <w:p>
      <w:pPr>
        <w:pStyle w:val="47"/>
        <w:ind w:left="0" w:leftChars="0" w:firstLine="0" w:firstLineChars="0"/>
        <w:rPr>
          <w:rFonts w:ascii="宋体" w:hAnsi="宋体" w:eastAsia="宋体" w:cs="宋体"/>
        </w:rPr>
      </w:pPr>
    </w:p>
    <w:p>
      <w:pPr>
        <w:pStyle w:val="47"/>
        <w:ind w:left="0" w:leftChars="0" w:firstLine="0" w:firstLineChars="0"/>
        <w:rPr>
          <w:rFonts w:ascii="宋体" w:hAnsi="宋体" w:eastAsia="宋体" w:cs="宋体"/>
        </w:rPr>
      </w:pPr>
    </w:p>
    <w:p>
      <w:pPr>
        <w:widowControl/>
        <w:spacing w:line="360" w:lineRule="auto"/>
        <w:ind w:firstLine="0" w:firstLineChars="0"/>
        <w:jc w:val="center"/>
        <w:rPr>
          <w:rFonts w:ascii="宋体" w:hAnsi="宋体" w:cs="宋体"/>
          <w:b/>
          <w:bCs/>
          <w:sz w:val="32"/>
          <w:szCs w:val="20"/>
        </w:rPr>
      </w:pPr>
      <w:r>
        <w:rPr>
          <w:rFonts w:hint="eastAsia" w:ascii="宋体" w:hAnsi="宋体" w:cs="宋体"/>
          <w:b/>
          <w:bCs/>
          <w:sz w:val="32"/>
          <w:szCs w:val="20"/>
        </w:rPr>
        <w:t>（一）资格</w:t>
      </w:r>
      <w:r>
        <w:rPr>
          <w:rFonts w:hint="eastAsia" w:ascii="宋体" w:hAnsi="宋体" w:cs="宋体"/>
          <w:b/>
          <w:bCs/>
          <w:sz w:val="32"/>
          <w:szCs w:val="20"/>
          <w:lang w:val="en-US" w:eastAsia="zh-CN"/>
        </w:rPr>
        <w:t>审查</w:t>
      </w:r>
      <w:r>
        <w:rPr>
          <w:rFonts w:hint="eastAsia" w:ascii="宋体" w:hAnsi="宋体" w:cs="宋体"/>
          <w:b/>
          <w:bCs/>
          <w:sz w:val="32"/>
          <w:szCs w:val="20"/>
        </w:rPr>
        <w:t>文件</w:t>
      </w:r>
    </w:p>
    <w:p>
      <w:pPr>
        <w:autoSpaceDE w:val="0"/>
        <w:autoSpaceDN w:val="0"/>
        <w:adjustRightInd w:val="0"/>
        <w:snapToGrid w:val="0"/>
        <w:spacing w:line="240" w:lineRule="auto"/>
        <w:ind w:firstLine="480"/>
        <w:jc w:val="left"/>
        <w:rPr>
          <w:rFonts w:ascii="Arial" w:hAnsi="Arial" w:eastAsia="宋体" w:cs="Arial"/>
          <w:kern w:val="0"/>
          <w:sz w:val="21"/>
          <w:szCs w:val="21"/>
        </w:rPr>
      </w:pPr>
      <w:r>
        <w:rPr>
          <w:rFonts w:ascii="Arial" w:hAnsi="Arial" w:eastAsia="宋体" w:cs="Arial"/>
          <w:kern w:val="0"/>
          <w:sz w:val="21"/>
          <w:szCs w:val="21"/>
        </w:rPr>
        <w:t>（一）资格审查须知</w:t>
      </w:r>
    </w:p>
    <w:p>
      <w:pPr>
        <w:autoSpaceDE w:val="0"/>
        <w:autoSpaceDN w:val="0"/>
        <w:adjustRightInd w:val="0"/>
        <w:snapToGrid w:val="0"/>
        <w:spacing w:line="240" w:lineRule="auto"/>
        <w:ind w:firstLine="480"/>
        <w:jc w:val="left"/>
        <w:rPr>
          <w:rFonts w:ascii="Arial" w:hAnsi="Arial" w:eastAsia="宋体" w:cs="Arial"/>
          <w:kern w:val="0"/>
          <w:sz w:val="21"/>
          <w:szCs w:val="21"/>
        </w:rPr>
      </w:pPr>
      <w:r>
        <w:rPr>
          <w:rFonts w:ascii="Arial" w:hAnsi="Arial" w:eastAsia="宋体" w:cs="Arial"/>
          <w:kern w:val="0"/>
          <w:sz w:val="21"/>
          <w:szCs w:val="21"/>
        </w:rPr>
        <w:t>1、投标人必须认真填写招标文件规定的所有表格，并对其真实性负责，采购人有权对其进行调查核实和要求澄清。</w:t>
      </w:r>
    </w:p>
    <w:p>
      <w:pPr>
        <w:autoSpaceDE w:val="0"/>
        <w:autoSpaceDN w:val="0"/>
        <w:adjustRightInd w:val="0"/>
        <w:snapToGrid w:val="0"/>
        <w:spacing w:line="240" w:lineRule="auto"/>
        <w:ind w:firstLine="480"/>
        <w:jc w:val="left"/>
        <w:rPr>
          <w:rFonts w:ascii="Arial" w:hAnsi="Arial" w:eastAsia="宋体" w:cs="Arial"/>
          <w:kern w:val="0"/>
          <w:sz w:val="21"/>
          <w:szCs w:val="21"/>
        </w:rPr>
      </w:pPr>
      <w:r>
        <w:rPr>
          <w:rFonts w:ascii="Arial" w:hAnsi="Arial" w:eastAsia="宋体" w:cs="Arial"/>
          <w:kern w:val="0"/>
          <w:sz w:val="21"/>
          <w:szCs w:val="21"/>
        </w:rPr>
        <w:t>2、资格审查按通过和不通过两种方式进行评定，投标人的资格等方面的要求作为资格审查通过的强制性资格条件，经核实有一项不符合要求，则投标人的资格为不通过，不通过的投标人对其投标文件不进行后续评审。</w:t>
      </w:r>
    </w:p>
    <w:p>
      <w:pPr>
        <w:autoSpaceDE w:val="0"/>
        <w:autoSpaceDN w:val="0"/>
        <w:adjustRightInd w:val="0"/>
        <w:snapToGrid w:val="0"/>
        <w:spacing w:line="240" w:lineRule="auto"/>
        <w:ind w:firstLine="480"/>
        <w:jc w:val="left"/>
        <w:rPr>
          <w:rFonts w:ascii="Arial" w:hAnsi="Arial" w:eastAsia="宋体" w:cs="Arial"/>
          <w:kern w:val="0"/>
          <w:sz w:val="21"/>
          <w:szCs w:val="21"/>
        </w:rPr>
      </w:pPr>
      <w:r>
        <w:rPr>
          <w:rFonts w:ascii="Arial" w:hAnsi="Arial" w:eastAsia="宋体" w:cs="Arial"/>
          <w:kern w:val="0"/>
          <w:sz w:val="21"/>
          <w:szCs w:val="21"/>
        </w:rPr>
        <w:t>（二）资格审查资料格式</w:t>
      </w:r>
    </w:p>
    <w:p>
      <w:pPr>
        <w:autoSpaceDE w:val="0"/>
        <w:autoSpaceDN w:val="0"/>
        <w:adjustRightInd w:val="0"/>
        <w:snapToGrid w:val="0"/>
        <w:spacing w:line="240" w:lineRule="auto"/>
        <w:ind w:firstLine="480"/>
        <w:jc w:val="left"/>
        <w:rPr>
          <w:rFonts w:ascii="Arial" w:hAnsi="Arial" w:eastAsia="宋体" w:cs="Arial"/>
          <w:kern w:val="0"/>
          <w:sz w:val="21"/>
          <w:szCs w:val="21"/>
        </w:rPr>
      </w:pPr>
      <w:r>
        <w:rPr>
          <w:rFonts w:ascii="Arial" w:hAnsi="Arial" w:eastAsia="宋体" w:cs="Arial"/>
          <w:kern w:val="0"/>
          <w:sz w:val="21"/>
          <w:szCs w:val="21"/>
        </w:rPr>
        <w:t>表1 强制性资格条件</w:t>
      </w:r>
    </w:p>
    <w:p>
      <w:pPr>
        <w:autoSpaceDE w:val="0"/>
        <w:autoSpaceDN w:val="0"/>
        <w:adjustRightInd w:val="0"/>
        <w:snapToGrid w:val="0"/>
        <w:spacing w:line="240" w:lineRule="auto"/>
        <w:ind w:firstLine="482"/>
        <w:jc w:val="center"/>
        <w:rPr>
          <w:rFonts w:ascii="Arial" w:hAnsi="Arial" w:eastAsia="宋体" w:cs="Arial"/>
          <w:b/>
          <w:bCs/>
          <w:kern w:val="0"/>
        </w:rPr>
      </w:pPr>
      <w:r>
        <w:rPr>
          <w:rFonts w:ascii="Arial" w:hAnsi="Arial" w:eastAsia="宋体" w:cs="Arial"/>
          <w:b/>
          <w:bCs/>
          <w:kern w:val="0"/>
        </w:rPr>
        <w:t>强制性资格条件表</w:t>
      </w:r>
    </w:p>
    <w:p>
      <w:pPr>
        <w:autoSpaceDE w:val="0"/>
        <w:autoSpaceDN w:val="0"/>
        <w:adjustRightInd w:val="0"/>
        <w:snapToGrid w:val="0"/>
        <w:spacing w:line="300" w:lineRule="auto"/>
        <w:ind w:firstLine="480"/>
        <w:jc w:val="left"/>
        <w:rPr>
          <w:rFonts w:ascii="Arial" w:hAnsi="Arial" w:eastAsia="宋体" w:cs="Arial"/>
          <w:kern w:val="0"/>
          <w:sz w:val="21"/>
          <w:szCs w:val="21"/>
        </w:rPr>
      </w:pPr>
      <w:r>
        <w:rPr>
          <w:rFonts w:ascii="Arial" w:hAnsi="Arial" w:eastAsia="宋体" w:cs="Arial"/>
          <w:kern w:val="0"/>
          <w:sz w:val="21"/>
          <w:szCs w:val="21"/>
        </w:rPr>
        <w:t>项目名称：</w:t>
      </w:r>
    </w:p>
    <w:p>
      <w:pPr>
        <w:autoSpaceDE w:val="0"/>
        <w:autoSpaceDN w:val="0"/>
        <w:adjustRightInd w:val="0"/>
        <w:snapToGrid w:val="0"/>
        <w:spacing w:line="300" w:lineRule="auto"/>
        <w:ind w:firstLine="480"/>
        <w:jc w:val="left"/>
        <w:rPr>
          <w:rFonts w:ascii="Arial" w:hAnsi="Arial" w:eastAsia="宋体" w:cs="Arial"/>
          <w:kern w:val="0"/>
          <w:sz w:val="21"/>
          <w:szCs w:val="21"/>
        </w:rPr>
      </w:pPr>
      <w:r>
        <w:rPr>
          <w:rFonts w:ascii="Arial" w:hAnsi="Arial" w:eastAsia="宋体" w:cs="Arial"/>
          <w:kern w:val="0"/>
          <w:sz w:val="21"/>
          <w:szCs w:val="21"/>
        </w:rPr>
        <w:t>项目编号：</w:t>
      </w:r>
    </w:p>
    <w:tbl>
      <w:tblPr>
        <w:tblStyle w:val="38"/>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4236"/>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78" w:type="dxa"/>
            <w:vAlign w:val="center"/>
          </w:tcPr>
          <w:p>
            <w:pPr>
              <w:adjustRightInd w:val="0"/>
              <w:snapToGrid w:val="0"/>
              <w:spacing w:line="300" w:lineRule="auto"/>
              <w:ind w:firstLine="0" w:firstLineChars="0"/>
              <w:jc w:val="left"/>
              <w:rPr>
                <w:rFonts w:ascii="Arial" w:hAnsi="Arial" w:cs="Arial"/>
                <w:sz w:val="21"/>
                <w:szCs w:val="21"/>
              </w:rPr>
            </w:pPr>
            <w:r>
              <w:rPr>
                <w:rFonts w:hint="eastAsia" w:ascii="宋体" w:hAnsi="宋体" w:eastAsia="宋体" w:cs="宋体"/>
                <w:color w:val="000000"/>
                <w:sz w:val="21"/>
                <w:szCs w:val="21"/>
              </w:rPr>
              <w:t>序号</w:t>
            </w:r>
          </w:p>
        </w:tc>
        <w:tc>
          <w:tcPr>
            <w:tcW w:w="4236" w:type="dxa"/>
            <w:vAlign w:val="center"/>
          </w:tcPr>
          <w:p>
            <w:pPr>
              <w:adjustRightInd w:val="0"/>
              <w:snapToGrid w:val="0"/>
              <w:spacing w:line="300" w:lineRule="auto"/>
              <w:ind w:firstLine="480"/>
              <w:jc w:val="left"/>
              <w:rPr>
                <w:rFonts w:ascii="宋体" w:hAnsi="宋体" w:eastAsia="宋体" w:cs="宋体"/>
                <w:color w:val="000000"/>
                <w:sz w:val="21"/>
                <w:szCs w:val="21"/>
              </w:rPr>
            </w:pPr>
            <w:r>
              <w:rPr>
                <w:rFonts w:hint="eastAsia" w:ascii="宋体" w:hAnsi="宋体" w:eastAsia="宋体" w:cs="宋体"/>
                <w:color w:val="000000"/>
                <w:sz w:val="21"/>
                <w:szCs w:val="21"/>
              </w:rPr>
              <w:t>资格条件</w:t>
            </w:r>
          </w:p>
        </w:tc>
        <w:tc>
          <w:tcPr>
            <w:tcW w:w="4265" w:type="dxa"/>
            <w:vAlign w:val="center"/>
          </w:tcPr>
          <w:p>
            <w:pPr>
              <w:adjustRightInd w:val="0"/>
              <w:snapToGrid w:val="0"/>
              <w:spacing w:line="300" w:lineRule="auto"/>
              <w:ind w:firstLine="480"/>
              <w:jc w:val="left"/>
              <w:rPr>
                <w:rFonts w:ascii="宋体" w:hAnsi="宋体" w:eastAsia="宋体" w:cs="宋体"/>
                <w:color w:val="000000"/>
                <w:sz w:val="21"/>
                <w:szCs w:val="21"/>
              </w:rPr>
            </w:pPr>
            <w:r>
              <w:rPr>
                <w:rFonts w:hint="eastAsia" w:ascii="宋体" w:hAnsi="宋体" w:eastAsia="宋体" w:cs="宋体"/>
                <w:color w:val="000000"/>
                <w:sz w:val="21"/>
                <w:szCs w:val="21"/>
              </w:rPr>
              <w:t>应提供的资格审查资料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8" w:type="dxa"/>
            <w:vAlign w:val="center"/>
          </w:tcPr>
          <w:p>
            <w:pPr>
              <w:adjustRightInd w:val="0"/>
              <w:snapToGrid w:val="0"/>
              <w:spacing w:line="300" w:lineRule="auto"/>
              <w:ind w:firstLine="0" w:firstLineChars="0"/>
              <w:jc w:val="center"/>
              <w:rPr>
                <w:rFonts w:ascii="Arial" w:hAnsi="Arial" w:cs="Arial"/>
                <w:b/>
                <w:bCs/>
                <w:kern w:val="0"/>
              </w:rPr>
            </w:pPr>
            <w:r>
              <w:rPr>
                <w:rFonts w:ascii="Arial" w:hAnsi="Arial" w:cs="Arial"/>
                <w:b/>
                <w:bCs/>
                <w:kern w:val="0"/>
              </w:rPr>
              <w:t>1.</w:t>
            </w:r>
          </w:p>
        </w:tc>
        <w:tc>
          <w:tcPr>
            <w:tcW w:w="4236" w:type="dxa"/>
            <w:vAlign w:val="center"/>
          </w:tcPr>
          <w:p>
            <w:pPr>
              <w:adjustRightInd w:val="0"/>
              <w:snapToGrid w:val="0"/>
              <w:spacing w:line="300" w:lineRule="auto"/>
              <w:ind w:firstLine="482"/>
              <w:jc w:val="left"/>
              <w:rPr>
                <w:rFonts w:ascii="Arial" w:hAnsi="Arial" w:cs="Arial"/>
              </w:rPr>
            </w:pPr>
            <w:r>
              <w:rPr>
                <w:rFonts w:ascii="Arial" w:hAnsi="Arial" w:cs="Arial"/>
                <w:b/>
                <w:bCs/>
                <w:kern w:val="0"/>
              </w:rPr>
              <w:t>基本资格要求：</w:t>
            </w:r>
          </w:p>
        </w:tc>
        <w:tc>
          <w:tcPr>
            <w:tcW w:w="4265" w:type="dxa"/>
            <w:vAlign w:val="center"/>
          </w:tcPr>
          <w:p>
            <w:pPr>
              <w:adjustRightInd w:val="0"/>
              <w:snapToGrid w:val="0"/>
              <w:spacing w:line="300" w:lineRule="auto"/>
              <w:ind w:firstLine="480"/>
              <w:jc w:val="left"/>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78" w:type="dxa"/>
            <w:vAlign w:val="center"/>
          </w:tcPr>
          <w:p>
            <w:pPr>
              <w:adjustRightInd w:val="0"/>
              <w:snapToGrid w:val="0"/>
              <w:spacing w:line="30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4236" w:type="dxa"/>
            <w:vAlign w:val="center"/>
          </w:tcPr>
          <w:p>
            <w:pPr>
              <w:adjustRightInd w:val="0"/>
              <w:snapToGrid w:val="0"/>
              <w:spacing w:line="30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具有独立承担民事责任的能力；</w:t>
            </w:r>
          </w:p>
        </w:tc>
        <w:tc>
          <w:tcPr>
            <w:tcW w:w="4265" w:type="dxa"/>
            <w:vAlign w:val="center"/>
          </w:tcPr>
          <w:p>
            <w:pPr>
              <w:adjustRightInd w:val="0"/>
              <w:snapToGrid w:val="0"/>
              <w:spacing w:line="30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1）营业执照（或事业法人登记证或其他工商等登记证明材料）复印件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78" w:type="dxa"/>
            <w:vAlign w:val="center"/>
          </w:tcPr>
          <w:p>
            <w:pPr>
              <w:adjustRightInd w:val="0"/>
              <w:snapToGrid w:val="0"/>
              <w:spacing w:line="30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4236" w:type="dxa"/>
            <w:vAlign w:val="center"/>
          </w:tcPr>
          <w:p>
            <w:pPr>
              <w:adjustRightInd w:val="0"/>
              <w:snapToGrid w:val="0"/>
              <w:spacing w:line="30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具有良好的商业信誉和健全的财务会计制度；</w:t>
            </w:r>
          </w:p>
        </w:tc>
        <w:tc>
          <w:tcPr>
            <w:tcW w:w="4265" w:type="dxa"/>
            <w:vAlign w:val="center"/>
          </w:tcPr>
          <w:p>
            <w:pPr>
              <w:adjustRightInd w:val="0"/>
              <w:snapToGrid w:val="0"/>
              <w:spacing w:line="30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2）具有良好商业信誉和健全的财务会计制度的声明函；【声明函1】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78" w:type="dxa"/>
            <w:vAlign w:val="center"/>
          </w:tcPr>
          <w:p>
            <w:pPr>
              <w:adjustRightInd w:val="0"/>
              <w:snapToGrid w:val="0"/>
              <w:spacing w:line="30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4236" w:type="dxa"/>
            <w:vAlign w:val="center"/>
          </w:tcPr>
          <w:p>
            <w:pPr>
              <w:adjustRightInd w:val="0"/>
              <w:snapToGrid w:val="0"/>
              <w:spacing w:line="30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具有履行合同所必需的设备和专业技术能力；</w:t>
            </w:r>
          </w:p>
        </w:tc>
        <w:tc>
          <w:tcPr>
            <w:tcW w:w="4265" w:type="dxa"/>
            <w:vAlign w:val="center"/>
          </w:tcPr>
          <w:p>
            <w:pPr>
              <w:adjustRightInd w:val="0"/>
              <w:snapToGrid w:val="0"/>
              <w:spacing w:line="30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3）具有履行合同所必需的设备和专业技术能力的声明函；【声明函2】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78" w:type="dxa"/>
            <w:vAlign w:val="center"/>
          </w:tcPr>
          <w:p>
            <w:pPr>
              <w:adjustRightInd w:val="0"/>
              <w:snapToGrid w:val="0"/>
              <w:spacing w:line="30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（4）</w:t>
            </w:r>
          </w:p>
        </w:tc>
        <w:tc>
          <w:tcPr>
            <w:tcW w:w="4236" w:type="dxa"/>
            <w:vAlign w:val="center"/>
          </w:tcPr>
          <w:p>
            <w:pPr>
              <w:adjustRightInd w:val="0"/>
              <w:snapToGrid w:val="0"/>
              <w:spacing w:line="300" w:lineRule="auto"/>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具有依法缴纳税收和社会保障资金的良好记录；</w:t>
            </w:r>
          </w:p>
        </w:tc>
        <w:tc>
          <w:tcPr>
            <w:tcW w:w="4265" w:type="dxa"/>
            <w:vAlign w:val="center"/>
          </w:tcPr>
          <w:p>
            <w:pPr>
              <w:adjustRightInd w:val="0"/>
              <w:snapToGrid w:val="0"/>
              <w:spacing w:line="30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4）依法缴纳税收和社会保障资金良好记录的声明函【声明函3】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78" w:type="dxa"/>
            <w:vAlign w:val="center"/>
          </w:tcPr>
          <w:p>
            <w:pPr>
              <w:adjustRightInd w:val="0"/>
              <w:snapToGrid w:val="0"/>
              <w:spacing w:line="30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（5）</w:t>
            </w:r>
          </w:p>
        </w:tc>
        <w:tc>
          <w:tcPr>
            <w:tcW w:w="4236" w:type="dxa"/>
            <w:vAlign w:val="center"/>
          </w:tcPr>
          <w:p>
            <w:pPr>
              <w:adjustRightInd w:val="0"/>
              <w:snapToGrid w:val="0"/>
              <w:spacing w:line="300" w:lineRule="auto"/>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参加政府采购活动前三年内，在经营活动中没有重大违法记录；</w:t>
            </w:r>
          </w:p>
        </w:tc>
        <w:tc>
          <w:tcPr>
            <w:tcW w:w="4265" w:type="dxa"/>
            <w:vAlign w:val="center"/>
          </w:tcPr>
          <w:p>
            <w:pPr>
              <w:adjustRightInd w:val="0"/>
              <w:snapToGrid w:val="0"/>
              <w:spacing w:line="30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5）没有重大违法记录的声明函；【声明函4】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878" w:type="dxa"/>
            <w:vAlign w:val="center"/>
          </w:tcPr>
          <w:p>
            <w:pPr>
              <w:adjustRightInd w:val="0"/>
              <w:snapToGrid w:val="0"/>
              <w:spacing w:line="30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（6）</w:t>
            </w:r>
          </w:p>
        </w:tc>
        <w:tc>
          <w:tcPr>
            <w:tcW w:w="4236" w:type="dxa"/>
            <w:vAlign w:val="center"/>
          </w:tcPr>
          <w:p>
            <w:pPr>
              <w:adjustRightInd w:val="0"/>
              <w:snapToGrid w:val="0"/>
              <w:spacing w:line="30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未被“信用中国”（www.creditchina.gov.cn）、中国政府采购网（www.ccgp.gov.cn）列入失信被执行人、重大税收违法案件当事人名单、政府采购严重违法失信行为记录名单。</w:t>
            </w:r>
          </w:p>
        </w:tc>
        <w:tc>
          <w:tcPr>
            <w:tcW w:w="4265" w:type="dxa"/>
            <w:vAlign w:val="center"/>
          </w:tcPr>
          <w:p>
            <w:pPr>
              <w:adjustRightInd w:val="0"/>
              <w:snapToGrid w:val="0"/>
              <w:spacing w:line="30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6）无违法失信的声明函。【声明函5】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8" w:type="dxa"/>
            <w:vAlign w:val="center"/>
          </w:tcPr>
          <w:p>
            <w:pPr>
              <w:adjustRightInd w:val="0"/>
              <w:snapToGrid w:val="0"/>
              <w:spacing w:line="300" w:lineRule="auto"/>
              <w:ind w:firstLine="0" w:firstLineChars="0"/>
              <w:jc w:val="center"/>
              <w:rPr>
                <w:rFonts w:ascii="Arial" w:hAnsi="Arial" w:cs="Arial"/>
                <w:b/>
                <w:bCs/>
                <w:kern w:val="0"/>
                <w:sz w:val="21"/>
                <w:szCs w:val="21"/>
              </w:rPr>
            </w:pPr>
            <w:r>
              <w:rPr>
                <w:rFonts w:hint="eastAsia" w:ascii="Arial" w:hAnsi="Arial" w:cs="Arial"/>
                <w:b/>
                <w:bCs/>
                <w:kern w:val="0"/>
                <w:sz w:val="21"/>
                <w:szCs w:val="21"/>
              </w:rPr>
              <w:t>2</w:t>
            </w:r>
            <w:r>
              <w:rPr>
                <w:rFonts w:ascii="Arial" w:hAnsi="Arial" w:cs="Arial"/>
                <w:b/>
                <w:bCs/>
                <w:kern w:val="0"/>
                <w:sz w:val="21"/>
                <w:szCs w:val="21"/>
              </w:rPr>
              <w:t>.</w:t>
            </w:r>
          </w:p>
        </w:tc>
        <w:tc>
          <w:tcPr>
            <w:tcW w:w="4236" w:type="dxa"/>
            <w:vAlign w:val="center"/>
          </w:tcPr>
          <w:p>
            <w:pPr>
              <w:adjustRightInd w:val="0"/>
              <w:snapToGrid w:val="0"/>
              <w:spacing w:line="300" w:lineRule="auto"/>
              <w:ind w:firstLine="482"/>
              <w:jc w:val="left"/>
              <w:rPr>
                <w:rFonts w:ascii="Arial" w:hAnsi="Arial" w:cs="Arial"/>
                <w:b/>
                <w:bCs/>
                <w:kern w:val="0"/>
                <w:sz w:val="21"/>
                <w:szCs w:val="21"/>
              </w:rPr>
            </w:pPr>
            <w:r>
              <w:rPr>
                <w:rFonts w:hint="eastAsia" w:ascii="Arial" w:hAnsi="Arial" w:cs="Arial"/>
                <w:b/>
                <w:bCs/>
                <w:kern w:val="0"/>
                <w:sz w:val="21"/>
                <w:szCs w:val="21"/>
              </w:rPr>
              <w:t>特定资格要求：</w:t>
            </w:r>
          </w:p>
        </w:tc>
        <w:tc>
          <w:tcPr>
            <w:tcW w:w="4265" w:type="dxa"/>
            <w:vAlign w:val="center"/>
          </w:tcPr>
          <w:p>
            <w:pPr>
              <w:adjustRightInd w:val="0"/>
              <w:snapToGrid w:val="0"/>
              <w:spacing w:line="300" w:lineRule="auto"/>
              <w:ind w:firstLine="0" w:firstLineChars="0"/>
              <w:jc w:val="center"/>
              <w:rPr>
                <w:rFonts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78" w:type="dxa"/>
            <w:vAlign w:val="center"/>
          </w:tcPr>
          <w:p>
            <w:pPr>
              <w:adjustRightInd w:val="0"/>
              <w:snapToGrid w:val="0"/>
              <w:spacing w:line="30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4236" w:type="dxa"/>
            <w:vAlign w:val="center"/>
          </w:tcPr>
          <w:p>
            <w:pPr>
              <w:adjustRightInd w:val="0"/>
              <w:snapToGrid w:val="0"/>
              <w:spacing w:line="300" w:lineRule="auto"/>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单位负责人为同一人或者存在直接控股、管理关系的不同供应商</w:t>
            </w:r>
            <w:r>
              <w:rPr>
                <w:rFonts w:hint="eastAsia" w:ascii="宋体" w:hAnsi="宋体" w:eastAsia="宋体" w:cs="宋体"/>
                <w:sz w:val="21"/>
                <w:szCs w:val="21"/>
              </w:rPr>
              <w:t>，不得同时参加本项目投标；</w:t>
            </w:r>
          </w:p>
        </w:tc>
        <w:tc>
          <w:tcPr>
            <w:tcW w:w="4265" w:type="dxa"/>
            <w:vAlign w:val="center"/>
          </w:tcPr>
          <w:p>
            <w:pPr>
              <w:adjustRightInd w:val="0"/>
              <w:snapToGrid w:val="0"/>
              <w:spacing w:line="300" w:lineRule="auto"/>
              <w:ind w:firstLine="0" w:firstLineChars="0"/>
              <w:rPr>
                <w:sz w:val="21"/>
                <w:szCs w:val="21"/>
              </w:rPr>
            </w:pPr>
            <w:r>
              <w:rPr>
                <w:rFonts w:hint="eastAsia" w:ascii="宋体" w:hAnsi="宋体" w:eastAsia="宋体" w:cs="宋体"/>
                <w:color w:val="000000"/>
                <w:sz w:val="21"/>
                <w:szCs w:val="21"/>
              </w:rPr>
              <w:t>7）与其他供应商无利害关系的声明函。【声明函6】</w:t>
            </w:r>
            <w:r>
              <w:rPr>
                <w:rFonts w:hint="eastAsia"/>
                <w:sz w:val="21"/>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78" w:type="dxa"/>
            <w:vAlign w:val="center"/>
          </w:tcPr>
          <w:p>
            <w:pPr>
              <w:adjustRightInd w:val="0"/>
              <w:snapToGrid w:val="0"/>
              <w:spacing w:line="30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4236" w:type="dxa"/>
            <w:vAlign w:val="center"/>
          </w:tcPr>
          <w:p>
            <w:pPr>
              <w:adjustRightInd w:val="0"/>
              <w:snapToGrid w:val="0"/>
              <w:spacing w:line="300" w:lineRule="auto"/>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不是公益一类事业单位、使用事业编制且由财政拨款保障的群团组织。</w:t>
            </w:r>
          </w:p>
        </w:tc>
        <w:tc>
          <w:tcPr>
            <w:tcW w:w="4265" w:type="dxa"/>
            <w:vAlign w:val="center"/>
          </w:tcPr>
          <w:p>
            <w:pPr>
              <w:adjustRightInd w:val="0"/>
              <w:snapToGrid w:val="0"/>
              <w:spacing w:line="30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8）单位组织形式声明函。【声明函7】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78" w:type="dxa"/>
            <w:vAlign w:val="center"/>
          </w:tcPr>
          <w:p>
            <w:pPr>
              <w:adjustRightInd w:val="0"/>
              <w:snapToGrid w:val="0"/>
              <w:spacing w:line="30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（3）</w:t>
            </w:r>
          </w:p>
        </w:tc>
        <w:tc>
          <w:tcPr>
            <w:tcW w:w="4236" w:type="dxa"/>
            <w:vAlign w:val="center"/>
          </w:tcPr>
          <w:p>
            <w:pPr>
              <w:adjustRightInd w:val="0"/>
              <w:snapToGrid w:val="0"/>
              <w:spacing w:line="300" w:lineRule="auto"/>
              <w:ind w:firstLine="0" w:firstLineChars="0"/>
              <w:jc w:val="left"/>
              <w:rPr>
                <w:rFonts w:ascii="宋体" w:hAnsi="宋体" w:eastAsia="宋体" w:cs="宋体"/>
                <w:color w:val="000000"/>
                <w:sz w:val="21"/>
                <w:szCs w:val="21"/>
              </w:rPr>
            </w:pPr>
            <w:r>
              <w:rPr>
                <w:rFonts w:hint="eastAsia" w:ascii="宋体" w:hAnsi="宋体" w:eastAsia="宋体" w:cs="宋体"/>
                <w:color w:val="000000"/>
                <w:sz w:val="21"/>
                <w:szCs w:val="21"/>
              </w:rPr>
              <w:t>非联合体。</w:t>
            </w:r>
          </w:p>
        </w:tc>
        <w:tc>
          <w:tcPr>
            <w:tcW w:w="4265" w:type="dxa"/>
            <w:vAlign w:val="center"/>
          </w:tcPr>
          <w:p>
            <w:pPr>
              <w:adjustRightInd w:val="0"/>
              <w:snapToGrid w:val="0"/>
              <w:spacing w:line="30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9）非联合体的声明函。【声明函8】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379" w:type="dxa"/>
            <w:gridSpan w:val="3"/>
            <w:vAlign w:val="center"/>
          </w:tcPr>
          <w:p>
            <w:pPr>
              <w:adjustRightInd w:val="0"/>
              <w:snapToGrid w:val="0"/>
              <w:spacing w:line="300" w:lineRule="auto"/>
              <w:ind w:firstLine="0" w:firstLineChars="0"/>
              <w:rPr>
                <w:rFonts w:ascii="宋体" w:hAnsi="宋体" w:eastAsia="宋体" w:cs="宋体"/>
                <w:color w:val="000000"/>
                <w:sz w:val="21"/>
                <w:szCs w:val="21"/>
              </w:rPr>
            </w:pPr>
            <w:r>
              <w:rPr>
                <w:rFonts w:hint="eastAsia" w:ascii="宋体" w:hAnsi="宋体" w:eastAsia="宋体" w:cs="宋体"/>
                <w:color w:val="000000"/>
                <w:sz w:val="21"/>
                <w:szCs w:val="21"/>
              </w:rPr>
              <w:t>证明材料需加盖投标人单位公章，各声明函格式附后</w:t>
            </w:r>
          </w:p>
        </w:tc>
      </w:tr>
    </w:tbl>
    <w:p>
      <w:pPr>
        <w:pStyle w:val="6"/>
        <w:tabs>
          <w:tab w:val="left" w:pos="720"/>
        </w:tabs>
        <w:ind w:firstLine="0" w:firstLineChars="0"/>
        <w:jc w:val="both"/>
        <w:rPr>
          <w:rFonts w:ascii="Arial" w:hAnsi="Arial" w:eastAsia="宋体" w:cs="Arial"/>
          <w:sz w:val="28"/>
          <w:szCs w:val="28"/>
        </w:rPr>
      </w:pPr>
      <w:bookmarkStart w:id="396" w:name="_Toc16954"/>
      <w:bookmarkStart w:id="397" w:name="_Toc1258"/>
    </w:p>
    <w:p/>
    <w:p>
      <w:pPr>
        <w:pStyle w:val="6"/>
        <w:tabs>
          <w:tab w:val="left" w:pos="720"/>
        </w:tabs>
        <w:ind w:firstLine="562"/>
        <w:jc w:val="center"/>
        <w:rPr>
          <w:rFonts w:ascii="Arial" w:hAnsi="Arial" w:eastAsia="宋体" w:cs="Arial"/>
          <w:sz w:val="28"/>
          <w:szCs w:val="28"/>
        </w:rPr>
      </w:pPr>
      <w:r>
        <w:rPr>
          <w:rFonts w:hint="eastAsia" w:ascii="Arial" w:hAnsi="Arial" w:eastAsia="宋体" w:cs="Arial"/>
          <w:sz w:val="28"/>
          <w:szCs w:val="28"/>
        </w:rPr>
        <w:t>【声明函1】具有良好商业信誉的声明函</w:t>
      </w:r>
      <w:bookmarkEnd w:id="396"/>
    </w:p>
    <w:p>
      <w:pPr>
        <w:snapToGrid w:val="0"/>
        <w:spacing w:line="300" w:lineRule="auto"/>
        <w:ind w:firstLine="562"/>
        <w:jc w:val="center"/>
        <w:rPr>
          <w:rFonts w:ascii="Arial" w:hAnsi="Arial" w:cs="Arial"/>
          <w:b/>
          <w:kern w:val="0"/>
          <w:sz w:val="28"/>
          <w:szCs w:val="28"/>
        </w:rPr>
      </w:pPr>
    </w:p>
    <w:p>
      <w:pPr>
        <w:snapToGrid w:val="0"/>
        <w:spacing w:line="300" w:lineRule="auto"/>
        <w:ind w:firstLine="562"/>
        <w:jc w:val="center"/>
        <w:rPr>
          <w:rFonts w:ascii="Arial" w:hAnsi="Arial" w:cs="Arial"/>
          <w:b/>
          <w:kern w:val="0"/>
          <w:sz w:val="28"/>
          <w:szCs w:val="28"/>
        </w:rPr>
      </w:pPr>
      <w:r>
        <w:rPr>
          <w:rFonts w:hint="eastAsia" w:ascii="Arial" w:hAnsi="Arial" w:cs="Arial"/>
          <w:b/>
          <w:kern w:val="0"/>
          <w:sz w:val="28"/>
          <w:szCs w:val="28"/>
        </w:rPr>
        <w:t>具有良好商业信誉和健全的财务会计制度的声明函</w:t>
      </w:r>
    </w:p>
    <w:p>
      <w:pPr>
        <w:pStyle w:val="19"/>
        <w:adjustRightInd w:val="0"/>
        <w:snapToGrid w:val="0"/>
        <w:spacing w:line="300" w:lineRule="auto"/>
        <w:ind w:firstLine="420"/>
        <w:rPr>
          <w:rFonts w:ascii="Arial" w:hAnsi="Arial" w:cs="Arial"/>
          <w:u w:val="single"/>
        </w:rPr>
      </w:pPr>
    </w:p>
    <w:p>
      <w:pPr>
        <w:pStyle w:val="19"/>
        <w:adjustRightInd w:val="0"/>
        <w:snapToGrid w:val="0"/>
        <w:spacing w:line="480" w:lineRule="auto"/>
        <w:ind w:firstLine="420"/>
        <w:rPr>
          <w:rFonts w:ascii="Arial" w:hAnsi="Arial" w:cs="Arial"/>
          <w:kern w:val="0"/>
        </w:rPr>
      </w:pPr>
      <w:r>
        <w:rPr>
          <w:rFonts w:hint="eastAsia" w:ascii="Arial" w:hAnsi="Arial" w:cs="Arial"/>
          <w:kern w:val="0"/>
          <w:u w:val="single"/>
          <w:lang w:eastAsia="zh-CN"/>
        </w:rPr>
        <w:t>龙游华水农村供水发展有限公司</w:t>
      </w:r>
      <w:r>
        <w:rPr>
          <w:rFonts w:hint="eastAsia" w:ascii="Arial" w:hAnsi="Arial" w:cs="Arial"/>
          <w:kern w:val="0"/>
        </w:rPr>
        <w:t>：</w:t>
      </w:r>
    </w:p>
    <w:p>
      <w:pPr>
        <w:snapToGrid w:val="0"/>
        <w:spacing w:line="480" w:lineRule="auto"/>
        <w:ind w:firstLine="420"/>
        <w:rPr>
          <w:rFonts w:ascii="Arial" w:hAnsi="Arial" w:eastAsia="宋体" w:cs="Arial"/>
          <w:kern w:val="0"/>
          <w:sz w:val="21"/>
          <w:szCs w:val="21"/>
          <w:u w:val="single"/>
        </w:rPr>
      </w:pPr>
      <w:r>
        <w:rPr>
          <w:rFonts w:hint="eastAsia" w:ascii="Arial" w:hAnsi="Arial" w:eastAsia="宋体" w:cs="Arial"/>
          <w:kern w:val="0"/>
          <w:sz w:val="21"/>
          <w:szCs w:val="21"/>
          <w:u w:val="single"/>
        </w:rPr>
        <w:t>泰宇建筑工程技术咨询有限公司：</w:t>
      </w:r>
    </w:p>
    <w:p>
      <w:pPr>
        <w:snapToGrid w:val="0"/>
        <w:spacing w:line="480" w:lineRule="auto"/>
        <w:ind w:firstLine="420"/>
        <w:rPr>
          <w:rFonts w:ascii="Arial" w:hAnsi="Arial" w:eastAsia="宋体" w:cs="Arial"/>
          <w:kern w:val="0"/>
          <w:sz w:val="21"/>
          <w:szCs w:val="21"/>
        </w:rPr>
      </w:pPr>
      <w:r>
        <w:rPr>
          <w:rFonts w:hint="eastAsia" w:ascii="Arial" w:hAnsi="Arial" w:eastAsia="宋体" w:cs="Arial"/>
          <w:kern w:val="0"/>
          <w:sz w:val="21"/>
          <w:szCs w:val="21"/>
        </w:rPr>
        <w:t>截至</w:t>
      </w:r>
      <w:r>
        <w:rPr>
          <w:rFonts w:hint="eastAsia" w:ascii="Arial" w:hAnsi="Arial" w:eastAsia="宋体" w:cs="Arial"/>
          <w:kern w:val="0"/>
          <w:sz w:val="21"/>
          <w:szCs w:val="21"/>
          <w:u w:val="single"/>
          <w:lang w:eastAsia="zh-CN"/>
        </w:rPr>
        <w:t>龙游华水农村供水发展有限公司</w:t>
      </w:r>
      <w:r>
        <w:rPr>
          <w:rFonts w:hint="eastAsia" w:ascii="Arial" w:hAnsi="Arial" w:eastAsia="宋体" w:cs="Arial"/>
          <w:kern w:val="0"/>
          <w:sz w:val="21"/>
          <w:szCs w:val="21"/>
        </w:rPr>
        <w:t>（采购人）</w:t>
      </w:r>
      <w:r>
        <w:rPr>
          <w:rFonts w:hint="eastAsia" w:ascii="Arial" w:hAnsi="Arial" w:eastAsia="宋体" w:cs="Arial"/>
          <w:kern w:val="0"/>
          <w:sz w:val="21"/>
          <w:szCs w:val="21"/>
          <w:u w:val="single"/>
          <w:lang w:eastAsia="zh-CN"/>
        </w:rPr>
        <w:t>2025年农村供水哈夫节采购项目</w:t>
      </w:r>
      <w:r>
        <w:rPr>
          <w:rFonts w:hint="eastAsia" w:ascii="Arial" w:hAnsi="Arial" w:eastAsia="宋体" w:cs="Arial"/>
          <w:kern w:val="0"/>
          <w:sz w:val="21"/>
          <w:szCs w:val="21"/>
        </w:rPr>
        <w:t xml:space="preserve"> （项目名称）</w:t>
      </w:r>
      <w:r>
        <w:rPr>
          <w:rFonts w:hint="eastAsia" w:ascii="Arial" w:hAnsi="Arial" w:eastAsia="宋体" w:cs="Arial"/>
          <w:kern w:val="0"/>
          <w:sz w:val="21"/>
          <w:szCs w:val="21"/>
          <w:u w:val="single"/>
        </w:rPr>
        <w:t xml:space="preserve"> </w:t>
      </w:r>
      <w:r>
        <w:rPr>
          <w:rFonts w:hint="eastAsia" w:ascii="Arial" w:hAnsi="Arial" w:eastAsia="宋体" w:cs="Arial"/>
          <w:kern w:val="0"/>
          <w:sz w:val="21"/>
          <w:szCs w:val="21"/>
          <w:u w:val="single"/>
          <w:lang w:eastAsia="zh-CN"/>
        </w:rPr>
        <w:t xml:space="preserve">LYCG2025TY-018 </w:t>
      </w:r>
      <w:r>
        <w:rPr>
          <w:rFonts w:hint="eastAsia" w:ascii="Arial" w:hAnsi="Arial" w:eastAsia="宋体" w:cs="Arial"/>
          <w:kern w:val="0"/>
          <w:sz w:val="21"/>
          <w:szCs w:val="21"/>
        </w:rPr>
        <w:t>（项目编号）的投标截止时间，我方具有良好的商业信誉和健全的财务会计制度。</w:t>
      </w:r>
    </w:p>
    <w:p>
      <w:pPr>
        <w:snapToGrid w:val="0"/>
        <w:spacing w:line="480" w:lineRule="auto"/>
        <w:ind w:firstLine="420"/>
        <w:rPr>
          <w:rFonts w:ascii="Arial" w:hAnsi="Arial" w:eastAsia="宋体" w:cs="Arial"/>
          <w:kern w:val="0"/>
          <w:sz w:val="21"/>
          <w:szCs w:val="21"/>
        </w:rPr>
      </w:pPr>
      <w:r>
        <w:rPr>
          <w:rFonts w:hint="eastAsia" w:ascii="Arial" w:hAnsi="Arial" w:eastAsia="宋体" w:cs="Arial"/>
          <w:kern w:val="0"/>
          <w:sz w:val="21"/>
          <w:szCs w:val="21"/>
        </w:rPr>
        <w:t>我方对上述声明的真实性负责。如有虚假，愿意承担相应责任，对此无任何异议。</w:t>
      </w:r>
    </w:p>
    <w:p>
      <w:pPr>
        <w:snapToGrid w:val="0"/>
        <w:spacing w:line="480" w:lineRule="auto"/>
        <w:ind w:firstLine="420"/>
        <w:rPr>
          <w:rFonts w:ascii="Arial" w:hAnsi="Arial" w:eastAsia="宋体" w:cs="Arial"/>
          <w:kern w:val="0"/>
          <w:sz w:val="21"/>
          <w:szCs w:val="21"/>
        </w:rPr>
      </w:pPr>
      <w:r>
        <w:rPr>
          <w:rFonts w:hint="eastAsia" w:ascii="Arial" w:hAnsi="Arial" w:eastAsia="宋体" w:cs="Arial"/>
          <w:kern w:val="0"/>
          <w:sz w:val="21"/>
          <w:szCs w:val="21"/>
        </w:rPr>
        <w:t>特此声明！</w:t>
      </w:r>
    </w:p>
    <w:p>
      <w:pPr>
        <w:spacing w:line="480" w:lineRule="auto"/>
        <w:ind w:firstLine="420"/>
        <w:rPr>
          <w:rFonts w:ascii="Arial" w:hAnsi="Arial" w:eastAsia="宋体" w:cs="Arial"/>
          <w:kern w:val="0"/>
          <w:sz w:val="21"/>
          <w:szCs w:val="21"/>
        </w:rPr>
      </w:pPr>
    </w:p>
    <w:p>
      <w:pPr>
        <w:adjustRightInd w:val="0"/>
        <w:snapToGrid w:val="0"/>
        <w:spacing w:line="480" w:lineRule="auto"/>
        <w:ind w:firstLine="480"/>
        <w:rPr>
          <w:rFonts w:ascii="Arial" w:hAnsi="Arial" w:eastAsia="宋体" w:cs="Arial"/>
          <w:kern w:val="0"/>
          <w:sz w:val="21"/>
          <w:szCs w:val="21"/>
        </w:rPr>
      </w:pPr>
      <w:r>
        <w:rPr>
          <w:rFonts w:hint="eastAsia" w:ascii="Arial" w:hAnsi="Arial" w:eastAsia="宋体" w:cs="Arial"/>
          <w:kern w:val="0"/>
          <w:sz w:val="21"/>
          <w:szCs w:val="21"/>
        </w:rPr>
        <w:t>投标人全称：（盖单位公章）</w:t>
      </w:r>
    </w:p>
    <w:p>
      <w:pPr>
        <w:snapToGrid w:val="0"/>
        <w:spacing w:line="480" w:lineRule="auto"/>
        <w:ind w:firstLine="420"/>
        <w:rPr>
          <w:rFonts w:ascii="Arial" w:hAnsi="Arial" w:eastAsia="宋体" w:cs="Arial"/>
          <w:sz w:val="28"/>
          <w:szCs w:val="28"/>
        </w:rPr>
      </w:pPr>
      <w:r>
        <w:rPr>
          <w:rFonts w:hint="eastAsia" w:ascii="Arial" w:hAnsi="Arial" w:eastAsia="宋体" w:cs="Arial"/>
          <w:kern w:val="0"/>
          <w:sz w:val="21"/>
          <w:szCs w:val="21"/>
        </w:rPr>
        <w:t>日期：202</w:t>
      </w:r>
      <w:r>
        <w:rPr>
          <w:rFonts w:hint="eastAsia" w:ascii="Arial" w:hAnsi="Arial" w:eastAsia="宋体" w:cs="Arial"/>
          <w:kern w:val="0"/>
          <w:sz w:val="21"/>
          <w:szCs w:val="21"/>
          <w:lang w:val="en-US" w:eastAsia="zh-CN"/>
        </w:rPr>
        <w:t>5</w:t>
      </w:r>
      <w:r>
        <w:rPr>
          <w:rFonts w:hint="eastAsia" w:ascii="Arial" w:hAnsi="Arial" w:eastAsia="宋体" w:cs="Arial"/>
          <w:kern w:val="0"/>
          <w:sz w:val="21"/>
          <w:szCs w:val="21"/>
        </w:rPr>
        <w:t>年   月   日</w:t>
      </w:r>
    </w:p>
    <w:p>
      <w:pPr>
        <w:pStyle w:val="6"/>
        <w:tabs>
          <w:tab w:val="left" w:pos="720"/>
        </w:tabs>
        <w:ind w:left="840" w:firstLine="422" w:firstLineChars="0"/>
        <w:rPr>
          <w:rFonts w:cs="Arial"/>
          <w:sz w:val="28"/>
          <w:szCs w:val="28"/>
        </w:rPr>
      </w:pPr>
      <w:bookmarkStart w:id="398" w:name="_Toc2703"/>
      <w:r>
        <w:rPr>
          <w:rFonts w:hint="eastAsia" w:ascii="Arial" w:hAnsi="Arial" w:eastAsia="宋体" w:cs="Arial"/>
          <w:kern w:val="2"/>
          <w:sz w:val="28"/>
          <w:szCs w:val="28"/>
        </w:rPr>
        <w:t>【声明函2】具有履行合同所必需的设备和专业技术能力的声明函</w:t>
      </w:r>
      <w:bookmarkEnd w:id="398"/>
    </w:p>
    <w:p>
      <w:pPr>
        <w:pStyle w:val="19"/>
        <w:adjustRightInd w:val="0"/>
        <w:snapToGrid w:val="0"/>
        <w:spacing w:line="300" w:lineRule="auto"/>
        <w:ind w:firstLine="562"/>
        <w:jc w:val="center"/>
        <w:rPr>
          <w:rFonts w:ascii="Arial" w:hAnsi="Arial" w:cs="Arial"/>
          <w:b/>
          <w:bCs/>
          <w:sz w:val="28"/>
          <w:szCs w:val="28"/>
        </w:rPr>
      </w:pPr>
    </w:p>
    <w:p>
      <w:pPr>
        <w:pStyle w:val="19"/>
        <w:adjustRightInd w:val="0"/>
        <w:snapToGrid w:val="0"/>
        <w:spacing w:line="300" w:lineRule="auto"/>
        <w:ind w:firstLine="562"/>
        <w:jc w:val="center"/>
        <w:rPr>
          <w:rFonts w:ascii="Arial" w:hAnsi="Arial" w:cs="Arial"/>
          <w:b/>
          <w:bCs/>
          <w:sz w:val="28"/>
          <w:szCs w:val="28"/>
        </w:rPr>
      </w:pPr>
      <w:r>
        <w:rPr>
          <w:rFonts w:hint="eastAsia" w:ascii="Arial" w:hAnsi="Arial" w:cs="Arial"/>
          <w:b/>
          <w:bCs/>
          <w:sz w:val="28"/>
          <w:szCs w:val="28"/>
        </w:rPr>
        <w:t>具有履行合同所必需的设备和专业技术能力的声明函</w:t>
      </w:r>
    </w:p>
    <w:p>
      <w:pPr>
        <w:pStyle w:val="19"/>
        <w:adjustRightInd w:val="0"/>
        <w:snapToGrid w:val="0"/>
        <w:spacing w:line="300" w:lineRule="auto"/>
        <w:ind w:firstLine="420"/>
        <w:rPr>
          <w:rFonts w:ascii="Arial" w:hAnsi="Arial" w:cs="Arial"/>
          <w:u w:val="single"/>
        </w:rPr>
      </w:pPr>
    </w:p>
    <w:p>
      <w:pPr>
        <w:pStyle w:val="19"/>
        <w:adjustRightInd w:val="0"/>
        <w:snapToGrid w:val="0"/>
        <w:spacing w:line="480" w:lineRule="auto"/>
        <w:ind w:firstLine="420"/>
        <w:rPr>
          <w:rFonts w:ascii="Arial" w:hAnsi="Arial" w:cs="Arial"/>
        </w:rPr>
      </w:pPr>
      <w:r>
        <w:rPr>
          <w:rFonts w:hint="eastAsia" w:ascii="Arial" w:hAnsi="Arial" w:cs="Arial"/>
          <w:u w:val="single"/>
          <w:lang w:eastAsia="zh-CN"/>
        </w:rPr>
        <w:t>龙游华水农村供水发展有限公司</w:t>
      </w:r>
      <w:r>
        <w:rPr>
          <w:rFonts w:hint="eastAsia" w:ascii="Arial" w:hAnsi="Arial" w:cs="Arial"/>
        </w:rPr>
        <w:t>：</w:t>
      </w:r>
    </w:p>
    <w:p>
      <w:pPr>
        <w:pStyle w:val="19"/>
        <w:adjustRightInd w:val="0"/>
        <w:snapToGrid w:val="0"/>
        <w:spacing w:line="480" w:lineRule="auto"/>
        <w:ind w:firstLine="420"/>
        <w:rPr>
          <w:rFonts w:ascii="Arial" w:hAnsi="Arial" w:cs="Arial"/>
          <w:u w:val="single"/>
        </w:rPr>
      </w:pPr>
      <w:r>
        <w:rPr>
          <w:rFonts w:hint="eastAsia" w:ascii="Arial" w:hAnsi="Arial" w:cs="Arial"/>
          <w:u w:val="single"/>
        </w:rPr>
        <w:t>泰宇建筑工程技术咨询有限公司：</w:t>
      </w:r>
    </w:p>
    <w:p>
      <w:pPr>
        <w:snapToGrid w:val="0"/>
        <w:spacing w:line="480" w:lineRule="auto"/>
        <w:ind w:firstLine="420"/>
        <w:rPr>
          <w:rFonts w:ascii="Arial" w:hAnsi="Arial" w:eastAsia="宋体" w:cs="Arial"/>
          <w:kern w:val="0"/>
          <w:sz w:val="21"/>
          <w:szCs w:val="21"/>
        </w:rPr>
      </w:pPr>
      <w:r>
        <w:rPr>
          <w:rFonts w:hint="eastAsia" w:ascii="Arial" w:hAnsi="Arial" w:eastAsia="宋体" w:cs="Arial"/>
          <w:kern w:val="0"/>
          <w:sz w:val="21"/>
          <w:szCs w:val="21"/>
        </w:rPr>
        <w:t>我方郑重承诺，我方具有履行</w:t>
      </w:r>
      <w:r>
        <w:rPr>
          <w:rFonts w:hint="eastAsia" w:ascii="Arial" w:hAnsi="Arial" w:eastAsia="宋体" w:cs="Arial"/>
          <w:kern w:val="0"/>
          <w:sz w:val="21"/>
          <w:szCs w:val="21"/>
          <w:u w:val="single"/>
          <w:lang w:eastAsia="zh-CN"/>
        </w:rPr>
        <w:t>龙游华水农村供水发展有限公司</w:t>
      </w:r>
      <w:r>
        <w:rPr>
          <w:rFonts w:hint="eastAsia" w:ascii="Arial" w:hAnsi="Arial" w:eastAsia="宋体" w:cs="Arial"/>
          <w:kern w:val="0"/>
          <w:sz w:val="21"/>
          <w:szCs w:val="21"/>
        </w:rPr>
        <w:t>（采购人）</w:t>
      </w:r>
      <w:r>
        <w:rPr>
          <w:rFonts w:hint="eastAsia" w:ascii="Arial" w:hAnsi="Arial" w:eastAsia="宋体" w:cs="Arial"/>
          <w:kern w:val="0"/>
          <w:sz w:val="21"/>
          <w:szCs w:val="21"/>
          <w:u w:val="single"/>
          <w:lang w:eastAsia="zh-CN"/>
        </w:rPr>
        <w:t>2025年农村供水哈夫节采购项目</w:t>
      </w:r>
      <w:r>
        <w:rPr>
          <w:rFonts w:hint="eastAsia" w:ascii="Arial" w:hAnsi="Arial" w:eastAsia="宋体" w:cs="Arial"/>
          <w:kern w:val="0"/>
          <w:sz w:val="21"/>
          <w:szCs w:val="21"/>
          <w:u w:val="single"/>
        </w:rPr>
        <w:t xml:space="preserve"> </w:t>
      </w:r>
      <w:r>
        <w:rPr>
          <w:rFonts w:hint="eastAsia" w:ascii="Arial" w:hAnsi="Arial" w:eastAsia="宋体" w:cs="Arial"/>
          <w:kern w:val="0"/>
          <w:sz w:val="21"/>
          <w:szCs w:val="21"/>
        </w:rPr>
        <w:t>（项目名称）</w:t>
      </w:r>
      <w:r>
        <w:rPr>
          <w:rFonts w:hint="eastAsia" w:ascii="Arial" w:hAnsi="Arial" w:eastAsia="宋体" w:cs="Arial"/>
          <w:kern w:val="0"/>
          <w:sz w:val="21"/>
          <w:szCs w:val="21"/>
          <w:u w:val="single"/>
        </w:rPr>
        <w:t xml:space="preserve"> </w:t>
      </w:r>
      <w:r>
        <w:rPr>
          <w:rFonts w:hint="eastAsia" w:ascii="Arial" w:hAnsi="Arial" w:eastAsia="宋体" w:cs="Arial"/>
          <w:kern w:val="0"/>
          <w:sz w:val="21"/>
          <w:szCs w:val="21"/>
          <w:u w:val="single"/>
          <w:lang w:eastAsia="zh-CN"/>
        </w:rPr>
        <w:t xml:space="preserve">LYCG2025TY-018 </w:t>
      </w:r>
      <w:r>
        <w:rPr>
          <w:rFonts w:hint="eastAsia" w:ascii="Arial" w:hAnsi="Arial" w:eastAsia="宋体" w:cs="Arial"/>
          <w:kern w:val="0"/>
          <w:sz w:val="21"/>
          <w:szCs w:val="21"/>
        </w:rPr>
        <w:t>（项目编号）合同所必需的设备和专业技术能力。如成交，我方将保证合同顺利履行。</w:t>
      </w:r>
    </w:p>
    <w:p>
      <w:pPr>
        <w:snapToGrid w:val="0"/>
        <w:spacing w:line="480" w:lineRule="auto"/>
        <w:ind w:firstLine="420"/>
        <w:rPr>
          <w:rFonts w:ascii="Arial" w:hAnsi="Arial" w:eastAsia="宋体" w:cs="Arial"/>
          <w:kern w:val="0"/>
          <w:sz w:val="21"/>
          <w:szCs w:val="21"/>
        </w:rPr>
      </w:pPr>
      <w:r>
        <w:rPr>
          <w:rFonts w:hint="eastAsia" w:ascii="Arial" w:hAnsi="Arial" w:eastAsia="宋体" w:cs="Arial"/>
          <w:kern w:val="0"/>
          <w:sz w:val="21"/>
          <w:szCs w:val="21"/>
        </w:rPr>
        <w:t>我方对上述声明的真实性负责。如有虚假，愿意承担相应责任，对此无任何异议。</w:t>
      </w:r>
    </w:p>
    <w:p>
      <w:pPr>
        <w:snapToGrid w:val="0"/>
        <w:spacing w:line="480" w:lineRule="auto"/>
        <w:ind w:firstLine="420"/>
        <w:rPr>
          <w:rFonts w:ascii="Arial" w:hAnsi="Arial" w:eastAsia="宋体" w:cs="Arial"/>
          <w:kern w:val="0"/>
          <w:sz w:val="21"/>
          <w:szCs w:val="21"/>
        </w:rPr>
      </w:pPr>
      <w:r>
        <w:rPr>
          <w:rFonts w:hint="eastAsia" w:ascii="Arial" w:hAnsi="Arial" w:eastAsia="宋体" w:cs="Arial"/>
          <w:kern w:val="0"/>
          <w:sz w:val="21"/>
          <w:szCs w:val="21"/>
        </w:rPr>
        <w:t>特此声明！</w:t>
      </w:r>
    </w:p>
    <w:p>
      <w:pPr>
        <w:snapToGrid w:val="0"/>
        <w:spacing w:line="480" w:lineRule="auto"/>
        <w:ind w:firstLine="480"/>
        <w:rPr>
          <w:rFonts w:ascii="Arial" w:hAnsi="Arial" w:eastAsia="宋体" w:cs="Arial"/>
          <w:kern w:val="0"/>
          <w:sz w:val="21"/>
          <w:szCs w:val="21"/>
        </w:rPr>
      </w:pPr>
      <w:r>
        <w:rPr>
          <w:rFonts w:hint="eastAsia" w:asciiTheme="majorEastAsia" w:hAnsiTheme="majorEastAsia" w:eastAsiaTheme="majorEastAsia" w:cstheme="majorEastAsia"/>
          <w:szCs w:val="21"/>
        </w:rPr>
        <w:t>投标人全称</w:t>
      </w:r>
      <w:r>
        <w:rPr>
          <w:rFonts w:hint="eastAsia" w:ascii="Arial" w:hAnsi="Arial" w:eastAsia="宋体" w:cs="Arial"/>
          <w:kern w:val="0"/>
          <w:sz w:val="21"/>
          <w:szCs w:val="21"/>
        </w:rPr>
        <w:t>：（盖单位公章）</w:t>
      </w:r>
    </w:p>
    <w:p>
      <w:pPr>
        <w:snapToGrid w:val="0"/>
        <w:spacing w:line="480" w:lineRule="auto"/>
        <w:ind w:firstLine="420"/>
      </w:pPr>
      <w:r>
        <w:rPr>
          <w:rFonts w:hint="eastAsia" w:ascii="Arial" w:hAnsi="Arial" w:eastAsia="宋体" w:cs="Arial"/>
          <w:kern w:val="0"/>
          <w:sz w:val="21"/>
          <w:szCs w:val="21"/>
        </w:rPr>
        <w:t>日期：202</w:t>
      </w:r>
      <w:r>
        <w:rPr>
          <w:rFonts w:hint="eastAsia" w:ascii="Arial" w:hAnsi="Arial" w:eastAsia="宋体" w:cs="Arial"/>
          <w:kern w:val="0"/>
          <w:sz w:val="21"/>
          <w:szCs w:val="21"/>
          <w:lang w:val="en-US" w:eastAsia="zh-CN"/>
        </w:rPr>
        <w:t>5</w:t>
      </w:r>
      <w:r>
        <w:rPr>
          <w:rFonts w:hint="eastAsia" w:ascii="Arial" w:hAnsi="Arial" w:eastAsia="宋体" w:cs="Arial"/>
          <w:kern w:val="0"/>
          <w:sz w:val="21"/>
          <w:szCs w:val="21"/>
        </w:rPr>
        <w:t>年月日</w:t>
      </w:r>
    </w:p>
    <w:p>
      <w:pPr>
        <w:rPr>
          <w:rFonts w:hint="eastAsia" w:ascii="Times New Roman" w:hAnsi="Times New Roman" w:cs="Arial"/>
          <w:sz w:val="28"/>
          <w:szCs w:val="28"/>
        </w:rPr>
      </w:pPr>
      <w:bookmarkStart w:id="399" w:name="_Toc12866"/>
      <w:r>
        <w:rPr>
          <w:rFonts w:hint="eastAsia" w:ascii="Times New Roman" w:hAnsi="Times New Roman" w:cs="Arial"/>
          <w:sz w:val="28"/>
          <w:szCs w:val="28"/>
        </w:rPr>
        <w:br w:type="page"/>
      </w:r>
    </w:p>
    <w:p>
      <w:pPr>
        <w:pStyle w:val="6"/>
        <w:tabs>
          <w:tab w:val="left" w:pos="720"/>
        </w:tabs>
        <w:ind w:left="840" w:firstLine="422" w:firstLineChars="0"/>
        <w:rPr>
          <w:rFonts w:ascii="Times New Roman" w:hAnsi="Times New Roman" w:cs="Arial"/>
          <w:sz w:val="28"/>
          <w:szCs w:val="28"/>
        </w:rPr>
      </w:pPr>
      <w:r>
        <w:rPr>
          <w:rFonts w:hint="eastAsia" w:ascii="Times New Roman" w:hAnsi="Times New Roman" w:cs="Arial"/>
          <w:sz w:val="28"/>
          <w:szCs w:val="28"/>
        </w:rPr>
        <w:t>【声明函3】依法缴纳税收和社会保障资金良好记录的声明函</w:t>
      </w:r>
      <w:bookmarkEnd w:id="399"/>
    </w:p>
    <w:p>
      <w:pPr>
        <w:snapToGrid w:val="0"/>
        <w:spacing w:line="300" w:lineRule="auto"/>
        <w:ind w:firstLine="562"/>
        <w:jc w:val="center"/>
        <w:rPr>
          <w:rFonts w:ascii="Arial" w:hAnsi="Arial" w:cs="Arial"/>
          <w:b/>
          <w:kern w:val="0"/>
          <w:sz w:val="28"/>
          <w:szCs w:val="28"/>
        </w:rPr>
      </w:pPr>
    </w:p>
    <w:p>
      <w:pPr>
        <w:snapToGrid w:val="0"/>
        <w:spacing w:line="300" w:lineRule="auto"/>
        <w:ind w:firstLine="562"/>
        <w:jc w:val="center"/>
        <w:rPr>
          <w:rFonts w:ascii="Arial" w:hAnsi="Arial" w:cs="Arial"/>
          <w:b/>
          <w:kern w:val="0"/>
          <w:sz w:val="28"/>
          <w:szCs w:val="28"/>
        </w:rPr>
      </w:pPr>
      <w:r>
        <w:rPr>
          <w:rFonts w:hint="eastAsia" w:ascii="Arial" w:hAnsi="Arial" w:cs="Arial"/>
          <w:b/>
          <w:kern w:val="0"/>
          <w:sz w:val="28"/>
          <w:szCs w:val="28"/>
        </w:rPr>
        <w:t>依法缴纳税收和社会保障资金良好记录的声明函</w:t>
      </w:r>
    </w:p>
    <w:p>
      <w:pPr>
        <w:pStyle w:val="19"/>
        <w:adjustRightInd w:val="0"/>
        <w:snapToGrid w:val="0"/>
        <w:spacing w:line="300" w:lineRule="auto"/>
        <w:ind w:firstLine="420"/>
        <w:rPr>
          <w:rFonts w:ascii="Arial" w:hAnsi="Arial" w:cs="Arial"/>
          <w:u w:val="single"/>
        </w:rPr>
      </w:pPr>
    </w:p>
    <w:p>
      <w:pPr>
        <w:pStyle w:val="19"/>
        <w:adjustRightInd w:val="0"/>
        <w:snapToGrid w:val="0"/>
        <w:spacing w:line="480" w:lineRule="auto"/>
        <w:ind w:firstLine="420"/>
        <w:rPr>
          <w:rFonts w:ascii="Arial" w:hAnsi="Arial" w:cs="Arial"/>
        </w:rPr>
      </w:pPr>
      <w:r>
        <w:rPr>
          <w:rFonts w:hint="eastAsia" w:ascii="Arial" w:hAnsi="Arial" w:cs="Arial"/>
          <w:u w:val="single"/>
          <w:lang w:eastAsia="zh-CN"/>
        </w:rPr>
        <w:t>龙游华水农村供水发展有限公司</w:t>
      </w:r>
      <w:r>
        <w:rPr>
          <w:rFonts w:hint="eastAsia" w:ascii="Arial" w:hAnsi="Arial" w:cs="Arial"/>
        </w:rPr>
        <w:t>：</w:t>
      </w:r>
    </w:p>
    <w:p>
      <w:pPr>
        <w:snapToGrid w:val="0"/>
        <w:spacing w:line="48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泰宇建筑工程技术咨询有限公司</w:t>
      </w:r>
      <w:r>
        <w:rPr>
          <w:rFonts w:hint="eastAsia" w:asciiTheme="minorEastAsia" w:hAnsiTheme="minorEastAsia" w:eastAsiaTheme="minorEastAsia" w:cstheme="minorEastAsia"/>
          <w:sz w:val="21"/>
          <w:szCs w:val="21"/>
        </w:rPr>
        <w:t>：</w:t>
      </w:r>
    </w:p>
    <w:p>
      <w:pPr>
        <w:snapToGrid w:val="0"/>
        <w:spacing w:line="48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截至</w:t>
      </w:r>
      <w:r>
        <w:rPr>
          <w:rFonts w:hint="eastAsia" w:asciiTheme="minorEastAsia" w:hAnsiTheme="minorEastAsia" w:eastAsiaTheme="minorEastAsia" w:cstheme="minorEastAsia"/>
          <w:sz w:val="21"/>
          <w:szCs w:val="21"/>
          <w:u w:val="single"/>
          <w:lang w:eastAsia="zh-CN"/>
        </w:rPr>
        <w:t>龙游华水农村供水发展有限公司</w:t>
      </w:r>
      <w:r>
        <w:rPr>
          <w:rFonts w:hint="eastAsia" w:asciiTheme="minorEastAsia" w:hAnsiTheme="minorEastAsia" w:eastAsiaTheme="minorEastAsia" w:cstheme="minorEastAsia"/>
          <w:sz w:val="21"/>
          <w:szCs w:val="21"/>
        </w:rPr>
        <w:t>（采购人）</w:t>
      </w:r>
      <w:r>
        <w:rPr>
          <w:rFonts w:hint="eastAsia" w:asciiTheme="minorEastAsia" w:hAnsiTheme="minorEastAsia" w:eastAsiaTheme="minorEastAsia" w:cstheme="minorEastAsia"/>
          <w:sz w:val="21"/>
          <w:szCs w:val="21"/>
          <w:u w:val="single"/>
          <w:lang w:eastAsia="zh-CN"/>
        </w:rPr>
        <w:t>2025年农村供水哈夫节采购项目</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（项目名称）</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eastAsia="zh-CN"/>
        </w:rPr>
        <w:t xml:space="preserve">LYCG2025TY-018 </w:t>
      </w:r>
      <w:r>
        <w:rPr>
          <w:rFonts w:hint="eastAsia" w:asciiTheme="minorEastAsia" w:hAnsiTheme="minorEastAsia" w:eastAsiaTheme="minorEastAsia" w:cstheme="minorEastAsia"/>
          <w:sz w:val="21"/>
          <w:szCs w:val="21"/>
        </w:rPr>
        <w:t>（项目编号）的投标截止时间，我方有依法缴纳税收和社会保障资金的良好记录。</w:t>
      </w:r>
    </w:p>
    <w:p>
      <w:pPr>
        <w:snapToGrid w:val="0"/>
        <w:spacing w:line="480" w:lineRule="auto"/>
        <w:ind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我方对上述声明的真实性负责。如有虚假，愿意承担相应责任，对此无任何异议。</w:t>
      </w:r>
    </w:p>
    <w:p>
      <w:pPr>
        <w:snapToGrid w:val="0"/>
        <w:spacing w:line="48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特此声明！</w:t>
      </w:r>
    </w:p>
    <w:p>
      <w:pPr>
        <w:snapToGrid w:val="0"/>
        <w:spacing w:line="360" w:lineRule="auto"/>
        <w:ind w:firstLine="420"/>
        <w:rPr>
          <w:rFonts w:asciiTheme="minorEastAsia" w:hAnsiTheme="minorEastAsia" w:eastAsiaTheme="minorEastAsia" w:cstheme="minorEastAsia"/>
          <w:sz w:val="21"/>
          <w:szCs w:val="21"/>
        </w:rPr>
      </w:pPr>
    </w:p>
    <w:p>
      <w:pPr>
        <w:adjustRightInd w:val="0"/>
        <w:snapToGrid w:val="0"/>
        <w:spacing w:line="360" w:lineRule="auto"/>
        <w:ind w:firstLine="420"/>
        <w:rPr>
          <w:rFonts w:asciiTheme="minorEastAsia" w:hAnsiTheme="minorEastAsia" w:eastAsiaTheme="minorEastAsia" w:cstheme="minorEastAsia"/>
          <w:spacing w:val="20"/>
          <w:sz w:val="21"/>
          <w:szCs w:val="21"/>
          <w:u w:val="single"/>
        </w:rPr>
      </w:pPr>
      <w:r>
        <w:rPr>
          <w:rFonts w:hint="eastAsia" w:asciiTheme="majorEastAsia" w:hAnsiTheme="majorEastAsia" w:eastAsiaTheme="majorEastAsia" w:cstheme="majorEastAsia"/>
          <w:sz w:val="21"/>
          <w:szCs w:val="21"/>
        </w:rPr>
        <w:t>投标人全称</w:t>
      </w:r>
      <w:r>
        <w:rPr>
          <w:rFonts w:hint="eastAsia" w:asciiTheme="minorEastAsia" w:hAnsiTheme="minorEastAsia" w:eastAsiaTheme="minorEastAsia" w:cstheme="minorEastAsia"/>
          <w:sz w:val="21"/>
          <w:szCs w:val="21"/>
        </w:rPr>
        <w:t>：（盖单位公章）</w:t>
      </w:r>
    </w:p>
    <w:p>
      <w:pPr>
        <w:snapToGrid w:val="0"/>
        <w:spacing w:line="360" w:lineRule="auto"/>
        <w:ind w:firstLine="420"/>
        <w:rPr>
          <w:rFonts w:ascii="Arial" w:hAnsi="Arial" w:cs="Arial"/>
          <w:b/>
          <w:kern w:val="0"/>
          <w:sz w:val="28"/>
          <w:szCs w:val="28"/>
        </w:rPr>
      </w:pPr>
      <w:r>
        <w:rPr>
          <w:rFonts w:hint="eastAsia" w:asciiTheme="minorEastAsia" w:hAnsiTheme="minorEastAsia" w:eastAsiaTheme="minorEastAsia" w:cstheme="minorEastAsia"/>
          <w:sz w:val="21"/>
          <w:szCs w:val="21"/>
        </w:rPr>
        <w:t>日期：202</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年月日</w:t>
      </w:r>
    </w:p>
    <w:p>
      <w:pPr>
        <w:pStyle w:val="6"/>
        <w:tabs>
          <w:tab w:val="left" w:pos="720"/>
        </w:tabs>
        <w:ind w:left="840" w:firstLine="422" w:firstLineChars="0"/>
        <w:jc w:val="center"/>
        <w:rPr>
          <w:rFonts w:ascii="Times New Roman" w:hAnsi="Times New Roman" w:eastAsia="宋体" w:cs="Arial"/>
          <w:sz w:val="28"/>
          <w:szCs w:val="28"/>
        </w:rPr>
      </w:pPr>
      <w:bookmarkStart w:id="400" w:name="_Toc2247"/>
      <w:r>
        <w:rPr>
          <w:rFonts w:hint="eastAsia" w:ascii="Times New Roman" w:hAnsi="Times New Roman" w:eastAsia="宋体" w:cs="Arial"/>
          <w:sz w:val="28"/>
          <w:szCs w:val="28"/>
        </w:rPr>
        <w:t>【声明函4】没有重大违法记录的声明函</w:t>
      </w:r>
      <w:bookmarkEnd w:id="400"/>
    </w:p>
    <w:p>
      <w:pPr>
        <w:snapToGrid w:val="0"/>
        <w:spacing w:line="300" w:lineRule="auto"/>
        <w:ind w:firstLine="562"/>
        <w:jc w:val="center"/>
        <w:rPr>
          <w:rFonts w:ascii="Arial" w:hAnsi="Arial" w:cs="Arial"/>
          <w:b/>
          <w:kern w:val="0"/>
          <w:sz w:val="28"/>
          <w:szCs w:val="28"/>
        </w:rPr>
      </w:pPr>
    </w:p>
    <w:p>
      <w:pPr>
        <w:snapToGrid w:val="0"/>
        <w:spacing w:line="300" w:lineRule="auto"/>
        <w:ind w:firstLine="562"/>
        <w:jc w:val="center"/>
        <w:rPr>
          <w:rFonts w:ascii="Arial" w:hAnsi="Arial" w:cs="Arial"/>
          <w:b/>
          <w:kern w:val="0"/>
          <w:sz w:val="28"/>
          <w:szCs w:val="28"/>
        </w:rPr>
      </w:pPr>
      <w:r>
        <w:rPr>
          <w:rFonts w:hint="eastAsia" w:ascii="Arial" w:hAnsi="Arial" w:cs="Arial"/>
          <w:b/>
          <w:kern w:val="0"/>
          <w:sz w:val="28"/>
          <w:szCs w:val="28"/>
        </w:rPr>
        <w:t>没有重大违法记录的声明函</w:t>
      </w:r>
    </w:p>
    <w:p>
      <w:pPr>
        <w:pStyle w:val="19"/>
        <w:adjustRightInd w:val="0"/>
        <w:snapToGrid w:val="0"/>
        <w:spacing w:line="300" w:lineRule="auto"/>
        <w:ind w:firstLine="420"/>
        <w:rPr>
          <w:rFonts w:ascii="Arial" w:hAnsi="Arial" w:cs="Arial"/>
          <w:u w:val="single"/>
        </w:rPr>
      </w:pPr>
    </w:p>
    <w:p>
      <w:pPr>
        <w:pStyle w:val="19"/>
        <w:adjustRightInd w:val="0"/>
        <w:snapToGrid w:val="0"/>
        <w:spacing w:line="480" w:lineRule="auto"/>
        <w:ind w:firstLine="420"/>
        <w:rPr>
          <w:rFonts w:ascii="Arial" w:hAnsi="Arial" w:cs="Arial"/>
        </w:rPr>
      </w:pPr>
      <w:r>
        <w:rPr>
          <w:rFonts w:hint="eastAsia" w:ascii="Arial" w:hAnsi="Arial" w:cs="Arial"/>
          <w:u w:val="single"/>
          <w:lang w:eastAsia="zh-CN"/>
        </w:rPr>
        <w:t>龙游华水农村供水发展有限公司</w:t>
      </w:r>
      <w:r>
        <w:rPr>
          <w:rFonts w:hint="eastAsia" w:ascii="Arial" w:hAnsi="Arial" w:cs="Arial"/>
        </w:rPr>
        <w:t>：</w:t>
      </w:r>
    </w:p>
    <w:p>
      <w:pPr>
        <w:snapToGrid w:val="0"/>
        <w:spacing w:line="480" w:lineRule="auto"/>
        <w:ind w:firstLine="420"/>
        <w:rPr>
          <w:rFonts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u w:val="single"/>
        </w:rPr>
        <w:t>泰宇建筑工程技术咨询有限公司</w:t>
      </w:r>
      <w:r>
        <w:rPr>
          <w:rFonts w:hint="eastAsia" w:asciiTheme="majorEastAsia" w:hAnsiTheme="majorEastAsia" w:eastAsiaTheme="majorEastAsia" w:cstheme="majorEastAsia"/>
          <w:sz w:val="21"/>
          <w:szCs w:val="21"/>
        </w:rPr>
        <w:t>：</w:t>
      </w:r>
    </w:p>
    <w:p>
      <w:pPr>
        <w:snapToGrid w:val="0"/>
        <w:spacing w:line="480" w:lineRule="auto"/>
        <w:ind w:firstLine="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我方参加</w:t>
      </w:r>
      <w:r>
        <w:rPr>
          <w:rFonts w:hint="eastAsia" w:asciiTheme="majorEastAsia" w:hAnsiTheme="majorEastAsia" w:eastAsiaTheme="majorEastAsia" w:cstheme="majorEastAsia"/>
          <w:sz w:val="21"/>
          <w:szCs w:val="21"/>
          <w:u w:val="single"/>
          <w:lang w:eastAsia="zh-CN"/>
        </w:rPr>
        <w:t>龙游华水农村供水发展有限公司</w:t>
      </w:r>
      <w:r>
        <w:rPr>
          <w:rFonts w:hint="eastAsia" w:asciiTheme="majorEastAsia" w:hAnsiTheme="majorEastAsia" w:eastAsiaTheme="majorEastAsia" w:cstheme="majorEastAsia"/>
          <w:sz w:val="21"/>
          <w:szCs w:val="21"/>
        </w:rPr>
        <w:t>（采购人）</w:t>
      </w:r>
      <w:r>
        <w:rPr>
          <w:rFonts w:hint="eastAsia" w:asciiTheme="majorEastAsia" w:hAnsiTheme="majorEastAsia" w:eastAsiaTheme="majorEastAsia" w:cstheme="majorEastAsia"/>
          <w:sz w:val="21"/>
          <w:szCs w:val="21"/>
          <w:u w:val="single"/>
          <w:lang w:eastAsia="zh-CN"/>
        </w:rPr>
        <w:t>2025年农村供水哈夫节采购项目</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（项目名称）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eastAsia="zh-CN"/>
        </w:rPr>
        <w:t xml:space="preserve">LYCG2025TY-018 </w:t>
      </w:r>
      <w:r>
        <w:rPr>
          <w:rFonts w:hint="eastAsia" w:asciiTheme="majorEastAsia" w:hAnsiTheme="majorEastAsia" w:eastAsiaTheme="majorEastAsia" w:cstheme="majorEastAsia"/>
          <w:sz w:val="21"/>
          <w:szCs w:val="21"/>
        </w:rPr>
        <w:t>（项目编号）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w:t>
      </w:r>
      <w:r>
        <w:rPr>
          <w:rFonts w:hint="eastAsia" w:asciiTheme="majorEastAsia" w:hAnsiTheme="majorEastAsia" w:eastAsiaTheme="majorEastAsia" w:cstheme="majorEastAsia"/>
          <w:kern w:val="0"/>
          <w:sz w:val="21"/>
          <w:szCs w:val="21"/>
        </w:rPr>
        <w:t>。</w:t>
      </w:r>
    </w:p>
    <w:p>
      <w:pPr>
        <w:snapToGrid w:val="0"/>
        <w:spacing w:line="480" w:lineRule="auto"/>
        <w:ind w:firstLine="420"/>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我方对上述声明的真实性负责。如有虚假，愿意承担相应责任，对此无任何异议。</w:t>
      </w:r>
    </w:p>
    <w:p>
      <w:pPr>
        <w:snapToGrid w:val="0"/>
        <w:spacing w:line="480" w:lineRule="auto"/>
        <w:ind w:firstLine="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特此声明！</w:t>
      </w:r>
    </w:p>
    <w:p>
      <w:pPr>
        <w:adjustRightInd w:val="0"/>
        <w:snapToGrid w:val="0"/>
        <w:spacing w:line="480" w:lineRule="auto"/>
        <w:ind w:firstLine="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投标人全称：（盖单位公章）</w:t>
      </w:r>
    </w:p>
    <w:p>
      <w:pPr>
        <w:adjustRightInd w:val="0"/>
        <w:snapToGrid w:val="0"/>
        <w:spacing w:line="480" w:lineRule="auto"/>
        <w:ind w:firstLine="42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日期：202</w:t>
      </w: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年月日</w:t>
      </w:r>
    </w:p>
    <w:p>
      <w:pPr>
        <w:pStyle w:val="2"/>
      </w:pPr>
    </w:p>
    <w:p>
      <w:pPr>
        <w:pStyle w:val="6"/>
        <w:tabs>
          <w:tab w:val="left" w:pos="720"/>
        </w:tabs>
        <w:ind w:left="840" w:firstLine="422" w:firstLineChars="0"/>
        <w:jc w:val="center"/>
        <w:rPr>
          <w:rFonts w:ascii="Times New Roman" w:hAnsi="Times New Roman" w:eastAsia="宋体" w:cs="Arial"/>
          <w:sz w:val="28"/>
          <w:szCs w:val="28"/>
        </w:rPr>
      </w:pPr>
      <w:bookmarkStart w:id="401" w:name="_Toc27978"/>
      <w:r>
        <w:rPr>
          <w:rFonts w:hint="eastAsia" w:ascii="Times New Roman" w:hAnsi="Times New Roman" w:eastAsia="宋体" w:cs="Arial"/>
          <w:sz w:val="28"/>
          <w:szCs w:val="28"/>
        </w:rPr>
        <w:t>【声明函5】无违法失信的声明函</w:t>
      </w:r>
      <w:bookmarkEnd w:id="401"/>
    </w:p>
    <w:p>
      <w:pPr>
        <w:snapToGrid w:val="0"/>
        <w:spacing w:line="300" w:lineRule="auto"/>
        <w:ind w:firstLine="562"/>
        <w:jc w:val="center"/>
        <w:rPr>
          <w:rFonts w:ascii="Arial" w:hAnsi="Arial" w:cs="Arial"/>
          <w:b/>
          <w:kern w:val="0"/>
          <w:sz w:val="28"/>
          <w:szCs w:val="28"/>
        </w:rPr>
      </w:pPr>
    </w:p>
    <w:p>
      <w:pPr>
        <w:snapToGrid w:val="0"/>
        <w:spacing w:line="300" w:lineRule="auto"/>
        <w:ind w:firstLine="562"/>
        <w:jc w:val="center"/>
        <w:rPr>
          <w:rFonts w:ascii="Arial" w:hAnsi="Arial" w:cs="Arial"/>
          <w:b/>
          <w:kern w:val="0"/>
          <w:sz w:val="28"/>
          <w:szCs w:val="28"/>
        </w:rPr>
      </w:pPr>
      <w:r>
        <w:rPr>
          <w:rFonts w:hint="eastAsia" w:ascii="Arial" w:hAnsi="Arial" w:cs="Arial"/>
          <w:b/>
          <w:kern w:val="0"/>
          <w:sz w:val="28"/>
          <w:szCs w:val="28"/>
        </w:rPr>
        <w:t>无违法失信的声明函</w:t>
      </w:r>
    </w:p>
    <w:p>
      <w:pPr>
        <w:pStyle w:val="19"/>
        <w:adjustRightInd w:val="0"/>
        <w:snapToGrid w:val="0"/>
        <w:spacing w:line="300" w:lineRule="auto"/>
        <w:ind w:firstLine="420"/>
        <w:rPr>
          <w:rFonts w:ascii="Arial" w:hAnsi="Arial" w:cs="Arial"/>
          <w:u w:val="single"/>
        </w:rPr>
      </w:pPr>
    </w:p>
    <w:p>
      <w:pPr>
        <w:pStyle w:val="19"/>
        <w:adjustRightInd w:val="0"/>
        <w:snapToGrid w:val="0"/>
        <w:spacing w:line="480" w:lineRule="auto"/>
        <w:ind w:firstLine="420"/>
        <w:rPr>
          <w:rFonts w:ascii="Arial" w:hAnsi="Arial" w:cs="Arial"/>
        </w:rPr>
      </w:pPr>
      <w:r>
        <w:rPr>
          <w:rFonts w:hint="eastAsia" w:ascii="Arial" w:hAnsi="Arial" w:cs="Arial"/>
          <w:u w:val="single"/>
          <w:lang w:eastAsia="zh-CN"/>
        </w:rPr>
        <w:t>龙游华水农村供水发展有限公司</w:t>
      </w:r>
      <w:r>
        <w:rPr>
          <w:rFonts w:hint="eastAsia" w:ascii="Arial" w:hAnsi="Arial" w:cs="Arial"/>
        </w:rPr>
        <w:t>：</w:t>
      </w:r>
    </w:p>
    <w:p>
      <w:pPr>
        <w:snapToGrid w:val="0"/>
        <w:spacing w:line="480" w:lineRule="auto"/>
        <w:ind w:firstLine="420"/>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u w:val="single"/>
        </w:rPr>
        <w:t>泰宇建筑工程技术咨询有限公司</w:t>
      </w:r>
      <w:r>
        <w:rPr>
          <w:rFonts w:hint="eastAsia" w:asciiTheme="majorEastAsia" w:hAnsiTheme="majorEastAsia" w:eastAsiaTheme="majorEastAsia" w:cstheme="majorEastAsia"/>
          <w:sz w:val="21"/>
          <w:szCs w:val="21"/>
        </w:rPr>
        <w:t>：</w:t>
      </w:r>
    </w:p>
    <w:p>
      <w:pPr>
        <w:snapToGrid w:val="0"/>
        <w:spacing w:line="480" w:lineRule="auto"/>
        <w:ind w:firstLine="420"/>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sz w:val="21"/>
          <w:szCs w:val="21"/>
        </w:rPr>
        <w:t>截至</w:t>
      </w:r>
      <w:r>
        <w:rPr>
          <w:rFonts w:hint="eastAsia" w:asciiTheme="majorEastAsia" w:hAnsiTheme="majorEastAsia" w:eastAsiaTheme="majorEastAsia" w:cstheme="majorEastAsia"/>
          <w:sz w:val="21"/>
          <w:szCs w:val="21"/>
          <w:u w:val="single"/>
          <w:lang w:eastAsia="zh-CN"/>
        </w:rPr>
        <w:t>龙游华水农村供水发展有限公司</w:t>
      </w:r>
      <w:r>
        <w:rPr>
          <w:rFonts w:hint="eastAsia" w:asciiTheme="majorEastAsia" w:hAnsiTheme="majorEastAsia" w:eastAsiaTheme="majorEastAsia" w:cstheme="majorEastAsia"/>
          <w:sz w:val="21"/>
          <w:szCs w:val="21"/>
        </w:rPr>
        <w:t>（采购人）</w:t>
      </w:r>
      <w:r>
        <w:rPr>
          <w:rFonts w:hint="eastAsia" w:asciiTheme="majorEastAsia" w:hAnsiTheme="majorEastAsia" w:eastAsiaTheme="majorEastAsia" w:cstheme="majorEastAsia"/>
          <w:sz w:val="21"/>
          <w:szCs w:val="21"/>
          <w:u w:val="single"/>
          <w:lang w:eastAsia="zh-CN"/>
        </w:rPr>
        <w:t>2025年农村供水哈夫节采购项目</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（项目名称）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eastAsia="zh-CN"/>
        </w:rPr>
        <w:t xml:space="preserve">LYCG2025TY-018 </w:t>
      </w:r>
      <w:r>
        <w:rPr>
          <w:rFonts w:hint="eastAsia" w:asciiTheme="majorEastAsia" w:hAnsiTheme="majorEastAsia" w:eastAsiaTheme="majorEastAsia" w:cstheme="majorEastAsia"/>
          <w:sz w:val="21"/>
          <w:szCs w:val="21"/>
        </w:rPr>
        <w:t>（项目编号）的投标截止时间，</w:t>
      </w:r>
      <w:r>
        <w:rPr>
          <w:rFonts w:hint="eastAsia" w:asciiTheme="majorEastAsia" w:hAnsiTheme="majorEastAsia" w:eastAsiaTheme="majorEastAsia" w:cstheme="majorEastAsia"/>
          <w:bCs/>
          <w:kern w:val="10"/>
          <w:sz w:val="21"/>
          <w:szCs w:val="21"/>
        </w:rPr>
        <w:t>往前追溯三年，期间未被列入失信被执行人名单、重大税收违法案件当事人名单、政府采购严重违法失信行为记录名单。</w:t>
      </w:r>
    </w:p>
    <w:p>
      <w:pPr>
        <w:snapToGrid w:val="0"/>
        <w:spacing w:line="480" w:lineRule="auto"/>
        <w:ind w:firstLine="420"/>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我方对上述声明的真实性负责。如有虚假，愿意承担相应责任，对此无任何异议。</w:t>
      </w:r>
    </w:p>
    <w:p>
      <w:pPr>
        <w:snapToGrid w:val="0"/>
        <w:spacing w:line="480" w:lineRule="auto"/>
        <w:ind w:firstLine="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特此声明！</w:t>
      </w:r>
    </w:p>
    <w:p>
      <w:pPr>
        <w:adjustRightInd w:val="0"/>
        <w:snapToGrid w:val="0"/>
        <w:spacing w:line="480" w:lineRule="auto"/>
        <w:ind w:firstLine="420"/>
        <w:rPr>
          <w:rFonts w:asciiTheme="majorEastAsia" w:hAnsiTheme="majorEastAsia" w:eastAsiaTheme="majorEastAsia" w:cstheme="majorEastAsia"/>
          <w:spacing w:val="20"/>
          <w:sz w:val="21"/>
          <w:szCs w:val="21"/>
          <w:u w:val="single"/>
        </w:rPr>
      </w:pPr>
      <w:r>
        <w:rPr>
          <w:rFonts w:hint="eastAsia" w:asciiTheme="majorEastAsia" w:hAnsiTheme="majorEastAsia" w:eastAsiaTheme="majorEastAsia" w:cstheme="majorEastAsia"/>
          <w:sz w:val="21"/>
          <w:szCs w:val="21"/>
        </w:rPr>
        <w:t>投标人全称：（盖单位公章）</w:t>
      </w:r>
    </w:p>
    <w:p>
      <w:pPr>
        <w:snapToGrid w:val="0"/>
        <w:spacing w:line="480" w:lineRule="auto"/>
        <w:ind w:firstLine="420"/>
        <w:jc w:val="left"/>
        <w:rPr>
          <w:rFonts w:ascii="Arial" w:hAnsi="Arial" w:cs="Arial"/>
          <w:szCs w:val="21"/>
        </w:rPr>
      </w:pPr>
      <w:r>
        <w:rPr>
          <w:rFonts w:hint="eastAsia" w:asciiTheme="majorEastAsia" w:hAnsiTheme="majorEastAsia" w:eastAsiaTheme="majorEastAsia" w:cstheme="majorEastAsia"/>
          <w:sz w:val="21"/>
          <w:szCs w:val="21"/>
        </w:rPr>
        <w:t>日期：202</w:t>
      </w: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年月日</w:t>
      </w:r>
    </w:p>
    <w:p>
      <w:pPr>
        <w:snapToGrid w:val="0"/>
        <w:spacing w:line="300" w:lineRule="auto"/>
        <w:ind w:firstLine="480"/>
        <w:jc w:val="left"/>
        <w:rPr>
          <w:rFonts w:ascii="Arial" w:hAnsi="Arial" w:cs="Arial"/>
          <w:szCs w:val="21"/>
        </w:rPr>
      </w:pPr>
    </w:p>
    <w:p>
      <w:pPr>
        <w:pStyle w:val="6"/>
        <w:tabs>
          <w:tab w:val="left" w:pos="720"/>
        </w:tabs>
        <w:ind w:left="840" w:firstLine="422" w:firstLineChars="0"/>
        <w:jc w:val="center"/>
        <w:rPr>
          <w:rFonts w:ascii="Times New Roman" w:hAnsi="Times New Roman" w:eastAsia="宋体" w:cs="Arial"/>
          <w:sz w:val="28"/>
          <w:szCs w:val="28"/>
        </w:rPr>
      </w:pPr>
      <w:bookmarkStart w:id="402" w:name="_Toc21693"/>
      <w:r>
        <w:rPr>
          <w:rFonts w:hint="eastAsia" w:ascii="Times New Roman" w:hAnsi="Times New Roman" w:eastAsia="宋体" w:cs="Arial"/>
          <w:sz w:val="28"/>
          <w:szCs w:val="28"/>
        </w:rPr>
        <w:t>【声明函6】与其他供应商无利害关系的声明函</w:t>
      </w:r>
      <w:bookmarkEnd w:id="402"/>
    </w:p>
    <w:p>
      <w:pPr>
        <w:pStyle w:val="19"/>
        <w:adjustRightInd w:val="0"/>
        <w:snapToGrid w:val="0"/>
        <w:spacing w:line="300" w:lineRule="auto"/>
        <w:ind w:firstLine="562"/>
        <w:jc w:val="center"/>
        <w:rPr>
          <w:rFonts w:ascii="Arial" w:hAnsi="Arial" w:cs="Arial"/>
          <w:b/>
          <w:kern w:val="0"/>
          <w:sz w:val="28"/>
          <w:szCs w:val="28"/>
        </w:rPr>
      </w:pPr>
    </w:p>
    <w:p>
      <w:pPr>
        <w:pStyle w:val="19"/>
        <w:adjustRightInd w:val="0"/>
        <w:snapToGrid w:val="0"/>
        <w:spacing w:line="300" w:lineRule="auto"/>
        <w:ind w:firstLine="562"/>
        <w:jc w:val="center"/>
        <w:rPr>
          <w:rFonts w:ascii="Arial" w:hAnsi="Arial" w:cs="Arial"/>
          <w:b/>
          <w:kern w:val="0"/>
          <w:sz w:val="28"/>
          <w:szCs w:val="28"/>
        </w:rPr>
      </w:pPr>
      <w:r>
        <w:rPr>
          <w:rFonts w:hint="eastAsia" w:ascii="Arial" w:hAnsi="Arial" w:cs="Arial"/>
          <w:b/>
          <w:kern w:val="0"/>
          <w:sz w:val="28"/>
          <w:szCs w:val="28"/>
        </w:rPr>
        <w:t>与其他供应商无利害关系的声明函</w:t>
      </w:r>
    </w:p>
    <w:p>
      <w:pPr>
        <w:pStyle w:val="19"/>
        <w:adjustRightInd w:val="0"/>
        <w:snapToGrid w:val="0"/>
        <w:spacing w:line="300" w:lineRule="auto"/>
        <w:ind w:firstLine="420"/>
        <w:rPr>
          <w:rFonts w:ascii="Arial" w:hAnsi="Arial" w:cs="Arial"/>
          <w:u w:val="single"/>
        </w:rPr>
      </w:pPr>
    </w:p>
    <w:p>
      <w:pPr>
        <w:pStyle w:val="19"/>
        <w:adjustRightInd w:val="0"/>
        <w:snapToGrid w:val="0"/>
        <w:spacing w:line="480" w:lineRule="auto"/>
        <w:ind w:firstLine="420"/>
        <w:rPr>
          <w:rFonts w:ascii="Arial" w:hAnsi="Arial" w:cs="Arial"/>
        </w:rPr>
      </w:pPr>
      <w:r>
        <w:rPr>
          <w:rFonts w:hint="eastAsia" w:ascii="Arial" w:hAnsi="Arial" w:cs="Arial"/>
          <w:u w:val="single"/>
          <w:lang w:eastAsia="zh-CN"/>
        </w:rPr>
        <w:t>龙游华水农村供水发展有限公司</w:t>
      </w:r>
      <w:r>
        <w:rPr>
          <w:rFonts w:hint="eastAsia" w:ascii="Arial" w:hAnsi="Arial" w:cs="Arial"/>
        </w:rPr>
        <w:t>：</w:t>
      </w:r>
    </w:p>
    <w:p>
      <w:pPr>
        <w:snapToGrid w:val="0"/>
        <w:spacing w:line="480" w:lineRule="auto"/>
        <w:ind w:firstLine="420"/>
        <w:rPr>
          <w:rFonts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u w:val="single"/>
        </w:rPr>
        <w:t>泰宇建筑工程技术咨询有限公司</w:t>
      </w:r>
      <w:r>
        <w:rPr>
          <w:rFonts w:hint="eastAsia" w:asciiTheme="majorEastAsia" w:hAnsiTheme="majorEastAsia" w:eastAsiaTheme="majorEastAsia" w:cstheme="majorEastAsia"/>
          <w:sz w:val="21"/>
          <w:szCs w:val="21"/>
        </w:rPr>
        <w:t>：</w:t>
      </w:r>
    </w:p>
    <w:p>
      <w:pPr>
        <w:snapToGrid w:val="0"/>
        <w:spacing w:line="480" w:lineRule="auto"/>
        <w:ind w:firstLine="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我方参加</w:t>
      </w:r>
      <w:r>
        <w:rPr>
          <w:rFonts w:hint="eastAsia" w:asciiTheme="majorEastAsia" w:hAnsiTheme="majorEastAsia" w:eastAsiaTheme="majorEastAsia" w:cstheme="majorEastAsia"/>
          <w:sz w:val="21"/>
          <w:szCs w:val="21"/>
          <w:u w:val="single"/>
          <w:lang w:eastAsia="zh-CN"/>
        </w:rPr>
        <w:t>龙游华水农村供水发展有限公司</w:t>
      </w:r>
      <w:r>
        <w:rPr>
          <w:rFonts w:hint="eastAsia" w:asciiTheme="majorEastAsia" w:hAnsiTheme="majorEastAsia" w:eastAsiaTheme="majorEastAsia" w:cstheme="majorEastAsia"/>
          <w:sz w:val="21"/>
          <w:szCs w:val="21"/>
        </w:rPr>
        <w:t>（采购人）</w:t>
      </w:r>
      <w:r>
        <w:rPr>
          <w:rFonts w:hint="eastAsia" w:asciiTheme="majorEastAsia" w:hAnsiTheme="majorEastAsia" w:eastAsiaTheme="majorEastAsia" w:cstheme="majorEastAsia"/>
          <w:sz w:val="21"/>
          <w:szCs w:val="21"/>
          <w:u w:val="single"/>
          <w:lang w:eastAsia="zh-CN"/>
        </w:rPr>
        <w:t>2025年农村供水哈夫节采购项目</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（项目名称）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eastAsia="zh-CN"/>
        </w:rPr>
        <w:t xml:space="preserve">LYCG2025TY-018 </w:t>
      </w:r>
      <w:r>
        <w:rPr>
          <w:rFonts w:hint="eastAsia" w:asciiTheme="majorEastAsia" w:hAnsiTheme="majorEastAsia" w:eastAsiaTheme="majorEastAsia" w:cstheme="majorEastAsia"/>
          <w:sz w:val="21"/>
          <w:szCs w:val="21"/>
        </w:rPr>
        <w:t>（项目编号）政府采购活动，与其他供应商不存在法定代表人为同一人或</w:t>
      </w:r>
      <w:r>
        <w:rPr>
          <w:rFonts w:hint="eastAsia" w:asciiTheme="majorEastAsia" w:hAnsiTheme="majorEastAsia" w:eastAsiaTheme="majorEastAsia" w:cstheme="majorEastAsia"/>
          <w:kern w:val="0"/>
          <w:sz w:val="21"/>
          <w:szCs w:val="21"/>
        </w:rPr>
        <w:t>存在直接控股、管理关系。</w:t>
      </w:r>
    </w:p>
    <w:p>
      <w:pPr>
        <w:snapToGrid w:val="0"/>
        <w:spacing w:line="480" w:lineRule="auto"/>
        <w:ind w:firstLine="420"/>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我方对上述声明的真实性负责。如有虚假，愿意承担相应责任，对此无任何异议。</w:t>
      </w:r>
    </w:p>
    <w:p>
      <w:pPr>
        <w:snapToGrid w:val="0"/>
        <w:spacing w:line="480" w:lineRule="auto"/>
        <w:ind w:firstLine="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特此声明！</w:t>
      </w:r>
    </w:p>
    <w:p>
      <w:pPr>
        <w:adjustRightInd w:val="0"/>
        <w:snapToGrid w:val="0"/>
        <w:spacing w:line="480" w:lineRule="auto"/>
        <w:ind w:firstLine="420"/>
        <w:rPr>
          <w:rFonts w:asciiTheme="majorEastAsia" w:hAnsiTheme="majorEastAsia" w:eastAsiaTheme="majorEastAsia" w:cstheme="majorEastAsia"/>
          <w:spacing w:val="20"/>
          <w:sz w:val="21"/>
          <w:szCs w:val="21"/>
          <w:u w:val="single"/>
        </w:rPr>
      </w:pPr>
      <w:r>
        <w:rPr>
          <w:rFonts w:hint="eastAsia" w:asciiTheme="majorEastAsia" w:hAnsiTheme="majorEastAsia" w:eastAsiaTheme="majorEastAsia" w:cstheme="majorEastAsia"/>
          <w:sz w:val="21"/>
          <w:szCs w:val="21"/>
        </w:rPr>
        <w:t>投标人全称：（盖单位公章）</w:t>
      </w:r>
    </w:p>
    <w:p>
      <w:pPr>
        <w:snapToGrid w:val="0"/>
        <w:spacing w:line="480" w:lineRule="auto"/>
        <w:ind w:firstLine="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日期：202</w:t>
      </w: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年月日</w:t>
      </w:r>
    </w:p>
    <w:p>
      <w:pPr>
        <w:ind w:firstLine="480"/>
      </w:pPr>
      <w:r>
        <w:rPr>
          <w:rFonts w:ascii="Arial" w:hAnsi="Arial" w:cs="Arial"/>
          <w:szCs w:val="21"/>
        </w:rPr>
        <w:br w:type="page"/>
      </w:r>
    </w:p>
    <w:p>
      <w:pPr>
        <w:pStyle w:val="6"/>
        <w:tabs>
          <w:tab w:val="left" w:pos="720"/>
        </w:tabs>
        <w:ind w:left="840" w:firstLine="422" w:firstLineChars="0"/>
        <w:jc w:val="center"/>
        <w:rPr>
          <w:rFonts w:ascii="Times New Roman" w:hAnsi="Times New Roman" w:eastAsia="宋体" w:cs="Arial"/>
          <w:sz w:val="28"/>
          <w:szCs w:val="28"/>
        </w:rPr>
      </w:pPr>
      <w:bookmarkStart w:id="403" w:name="_Toc14307"/>
      <w:r>
        <w:rPr>
          <w:rFonts w:hint="eastAsia" w:ascii="Times New Roman" w:hAnsi="Times New Roman" w:eastAsia="宋体" w:cs="Arial"/>
          <w:sz w:val="28"/>
          <w:szCs w:val="28"/>
        </w:rPr>
        <w:t>【声明函7】单位组织形式声明函</w:t>
      </w:r>
      <w:bookmarkEnd w:id="403"/>
    </w:p>
    <w:p>
      <w:pPr>
        <w:snapToGrid w:val="0"/>
        <w:spacing w:line="300" w:lineRule="auto"/>
        <w:ind w:firstLine="480"/>
        <w:jc w:val="left"/>
        <w:rPr>
          <w:rFonts w:ascii="Arial" w:hAnsi="Arial" w:cs="Arial"/>
          <w:szCs w:val="21"/>
        </w:rPr>
      </w:pPr>
    </w:p>
    <w:p>
      <w:pPr>
        <w:snapToGrid w:val="0"/>
        <w:spacing w:line="300" w:lineRule="auto"/>
        <w:ind w:left="281" w:hanging="281" w:hangingChars="100"/>
        <w:jc w:val="center"/>
        <w:rPr>
          <w:rFonts w:ascii="Arial" w:hAnsi="Arial" w:cs="Arial"/>
          <w:b/>
          <w:bCs/>
          <w:sz w:val="28"/>
          <w:szCs w:val="28"/>
        </w:rPr>
      </w:pPr>
      <w:r>
        <w:rPr>
          <w:rFonts w:hint="eastAsia" w:ascii="Arial" w:hAnsi="Arial" w:cs="Arial"/>
          <w:b/>
          <w:bCs/>
          <w:sz w:val="28"/>
          <w:szCs w:val="28"/>
        </w:rPr>
        <w:t>单位组织形式声明函</w:t>
      </w:r>
    </w:p>
    <w:p>
      <w:pPr>
        <w:pStyle w:val="19"/>
        <w:adjustRightInd w:val="0"/>
        <w:snapToGrid w:val="0"/>
        <w:spacing w:line="300" w:lineRule="auto"/>
        <w:ind w:firstLine="420"/>
        <w:rPr>
          <w:rFonts w:ascii="Arial" w:hAnsi="Arial" w:cs="Arial"/>
          <w:u w:val="single"/>
        </w:rPr>
      </w:pPr>
    </w:p>
    <w:p>
      <w:pPr>
        <w:pStyle w:val="19"/>
        <w:adjustRightInd w:val="0"/>
        <w:snapToGrid w:val="0"/>
        <w:spacing w:line="480" w:lineRule="auto"/>
        <w:ind w:firstLine="420"/>
        <w:rPr>
          <w:rFonts w:ascii="Arial" w:hAnsi="Arial" w:cs="Arial"/>
        </w:rPr>
      </w:pPr>
      <w:r>
        <w:rPr>
          <w:rFonts w:hint="eastAsia" w:ascii="Arial" w:hAnsi="Arial" w:cs="Arial"/>
          <w:u w:val="single"/>
          <w:lang w:eastAsia="zh-CN"/>
        </w:rPr>
        <w:t>龙游华水农村供水发展有限公司</w:t>
      </w:r>
      <w:r>
        <w:rPr>
          <w:rFonts w:hint="eastAsia" w:ascii="Arial" w:hAnsi="Arial" w:cs="Arial"/>
        </w:rPr>
        <w:t>：</w:t>
      </w:r>
    </w:p>
    <w:p>
      <w:pPr>
        <w:snapToGrid w:val="0"/>
        <w:spacing w:line="480" w:lineRule="auto"/>
        <w:ind w:firstLine="420"/>
        <w:rPr>
          <w:rFonts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u w:val="single"/>
        </w:rPr>
        <w:t>泰宇建筑工程技术咨询有限公司</w:t>
      </w:r>
      <w:r>
        <w:rPr>
          <w:rFonts w:hint="eastAsia" w:asciiTheme="majorEastAsia" w:hAnsiTheme="majorEastAsia" w:eastAsiaTheme="majorEastAsia" w:cstheme="majorEastAsia"/>
          <w:sz w:val="21"/>
          <w:szCs w:val="21"/>
        </w:rPr>
        <w:t>：</w:t>
      </w:r>
    </w:p>
    <w:p>
      <w:pPr>
        <w:snapToGrid w:val="0"/>
        <w:spacing w:line="480" w:lineRule="auto"/>
        <w:ind w:firstLine="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我方</w:t>
      </w:r>
      <w:r>
        <w:rPr>
          <w:rFonts w:hint="eastAsia" w:asciiTheme="majorEastAsia" w:hAnsiTheme="majorEastAsia" w:eastAsiaTheme="majorEastAsia" w:cstheme="majorEastAsia"/>
          <w:kern w:val="0"/>
          <w:sz w:val="21"/>
          <w:szCs w:val="21"/>
        </w:rPr>
        <w:t>不是公益一类事业单位、使用事业编制且由财政拨款保障的群团组织。</w:t>
      </w:r>
    </w:p>
    <w:p>
      <w:pPr>
        <w:snapToGrid w:val="0"/>
        <w:spacing w:line="480" w:lineRule="auto"/>
        <w:ind w:firstLine="420"/>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我方</w:t>
      </w:r>
      <w:r>
        <w:rPr>
          <w:rFonts w:hint="eastAsia" w:asciiTheme="majorEastAsia" w:hAnsiTheme="majorEastAsia" w:eastAsiaTheme="majorEastAsia" w:cstheme="majorEastAsia"/>
          <w:kern w:val="0"/>
          <w:sz w:val="21"/>
          <w:szCs w:val="21"/>
        </w:rPr>
        <w:t>对上述声明的真实性负责。如有虚假，将依法承担相应责任。</w:t>
      </w:r>
    </w:p>
    <w:p>
      <w:pPr>
        <w:snapToGrid w:val="0"/>
        <w:spacing w:line="480" w:lineRule="auto"/>
        <w:ind w:firstLine="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特此声明！</w:t>
      </w:r>
    </w:p>
    <w:p>
      <w:pPr>
        <w:adjustRightInd w:val="0"/>
        <w:snapToGrid w:val="0"/>
        <w:spacing w:line="480" w:lineRule="auto"/>
        <w:ind w:firstLine="420"/>
        <w:rPr>
          <w:rFonts w:asciiTheme="majorEastAsia" w:hAnsiTheme="majorEastAsia" w:eastAsiaTheme="majorEastAsia" w:cstheme="majorEastAsia"/>
          <w:spacing w:val="20"/>
          <w:sz w:val="21"/>
          <w:szCs w:val="21"/>
          <w:u w:val="single"/>
        </w:rPr>
      </w:pPr>
      <w:r>
        <w:rPr>
          <w:rFonts w:hint="eastAsia" w:asciiTheme="majorEastAsia" w:hAnsiTheme="majorEastAsia" w:eastAsiaTheme="majorEastAsia" w:cstheme="majorEastAsia"/>
          <w:sz w:val="21"/>
          <w:szCs w:val="21"/>
        </w:rPr>
        <w:t>投标人全称：（盖单位公章）</w:t>
      </w:r>
    </w:p>
    <w:p>
      <w:pPr>
        <w:snapToGrid w:val="0"/>
        <w:spacing w:line="480" w:lineRule="auto"/>
        <w:ind w:firstLine="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日期：202</w:t>
      </w: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年月日</w:t>
      </w:r>
    </w:p>
    <w:p>
      <w:pPr>
        <w:pStyle w:val="3"/>
        <w:ind w:left="0" w:leftChars="0" w:firstLine="0" w:firstLineChars="0"/>
      </w:pPr>
    </w:p>
    <w:p>
      <w:pPr>
        <w:pStyle w:val="6"/>
        <w:tabs>
          <w:tab w:val="left" w:pos="720"/>
        </w:tabs>
        <w:ind w:firstLine="482"/>
        <w:rPr>
          <w:rFonts w:cs="Arial"/>
        </w:rPr>
      </w:pPr>
    </w:p>
    <w:p>
      <w:pPr>
        <w:pStyle w:val="6"/>
        <w:tabs>
          <w:tab w:val="left" w:pos="720"/>
        </w:tabs>
        <w:ind w:left="840" w:firstLine="422" w:firstLineChars="0"/>
        <w:jc w:val="center"/>
        <w:rPr>
          <w:rFonts w:ascii="Times New Roman" w:hAnsi="Times New Roman" w:eastAsia="宋体" w:cs="Arial"/>
          <w:sz w:val="28"/>
          <w:szCs w:val="28"/>
        </w:rPr>
      </w:pPr>
      <w:bookmarkStart w:id="404" w:name="_Toc30886"/>
      <w:r>
        <w:rPr>
          <w:rFonts w:hint="eastAsia" w:ascii="Times New Roman" w:hAnsi="Times New Roman" w:eastAsia="宋体" w:cs="Arial"/>
          <w:sz w:val="28"/>
          <w:szCs w:val="28"/>
        </w:rPr>
        <w:t>【声明函8】非联合体的声明函</w:t>
      </w:r>
      <w:bookmarkEnd w:id="404"/>
    </w:p>
    <w:p>
      <w:pPr>
        <w:snapToGrid w:val="0"/>
        <w:spacing w:line="300" w:lineRule="auto"/>
        <w:ind w:firstLine="480"/>
        <w:jc w:val="left"/>
        <w:rPr>
          <w:rFonts w:ascii="Arial" w:hAnsi="Arial" w:cs="Arial"/>
          <w:szCs w:val="21"/>
        </w:rPr>
      </w:pPr>
    </w:p>
    <w:p>
      <w:pPr>
        <w:snapToGrid w:val="0"/>
        <w:spacing w:line="300" w:lineRule="auto"/>
        <w:ind w:left="281" w:hanging="281" w:hangingChars="100"/>
        <w:jc w:val="center"/>
        <w:rPr>
          <w:rFonts w:ascii="Arial" w:hAnsi="Arial" w:cs="Arial"/>
          <w:b/>
          <w:bCs/>
          <w:sz w:val="28"/>
          <w:szCs w:val="28"/>
        </w:rPr>
      </w:pPr>
      <w:r>
        <w:rPr>
          <w:rFonts w:hint="eastAsia" w:ascii="Arial" w:hAnsi="Arial" w:cs="Arial"/>
          <w:b/>
          <w:bCs/>
          <w:sz w:val="28"/>
          <w:szCs w:val="28"/>
        </w:rPr>
        <w:t>非联合体的声明函</w:t>
      </w:r>
    </w:p>
    <w:p>
      <w:pPr>
        <w:pStyle w:val="19"/>
        <w:adjustRightInd w:val="0"/>
        <w:snapToGrid w:val="0"/>
        <w:spacing w:line="480" w:lineRule="auto"/>
        <w:ind w:firstLine="420"/>
        <w:rPr>
          <w:rFonts w:ascii="Arial" w:hAnsi="Arial" w:cs="Arial"/>
        </w:rPr>
      </w:pPr>
      <w:r>
        <w:rPr>
          <w:rFonts w:hint="eastAsia" w:ascii="Arial" w:hAnsi="Arial" w:cs="Arial"/>
          <w:u w:val="single"/>
          <w:lang w:eastAsia="zh-CN"/>
        </w:rPr>
        <w:t>龙游华水农村供水发展有限公司</w:t>
      </w:r>
      <w:r>
        <w:rPr>
          <w:rFonts w:hint="eastAsia" w:ascii="Arial" w:hAnsi="Arial" w:cs="Arial"/>
        </w:rPr>
        <w:t>：</w:t>
      </w:r>
    </w:p>
    <w:p>
      <w:pPr>
        <w:snapToGrid w:val="0"/>
        <w:spacing w:line="480" w:lineRule="auto"/>
        <w:ind w:firstLine="420"/>
        <w:rPr>
          <w:rFonts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u w:val="single"/>
        </w:rPr>
        <w:t>泰宇建筑工程技术咨询有限公司</w:t>
      </w:r>
      <w:r>
        <w:rPr>
          <w:rFonts w:hint="eastAsia" w:asciiTheme="majorEastAsia" w:hAnsiTheme="majorEastAsia" w:eastAsiaTheme="majorEastAsia" w:cstheme="majorEastAsia"/>
          <w:sz w:val="21"/>
          <w:szCs w:val="21"/>
        </w:rPr>
        <w:t>：</w:t>
      </w:r>
    </w:p>
    <w:p>
      <w:pPr>
        <w:snapToGrid w:val="0"/>
        <w:spacing w:line="480" w:lineRule="auto"/>
        <w:ind w:firstLine="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我方独立参加</w:t>
      </w:r>
      <w:r>
        <w:rPr>
          <w:rFonts w:hint="eastAsia" w:asciiTheme="majorEastAsia" w:hAnsiTheme="majorEastAsia" w:eastAsiaTheme="majorEastAsia" w:cstheme="majorEastAsia"/>
          <w:sz w:val="21"/>
          <w:szCs w:val="21"/>
          <w:u w:val="single"/>
          <w:lang w:eastAsia="zh-CN"/>
        </w:rPr>
        <w:t>龙游华水农村供水发展有限公司</w:t>
      </w:r>
      <w:r>
        <w:rPr>
          <w:rFonts w:hint="eastAsia" w:asciiTheme="majorEastAsia" w:hAnsiTheme="majorEastAsia" w:eastAsiaTheme="majorEastAsia" w:cstheme="majorEastAsia"/>
          <w:sz w:val="21"/>
          <w:szCs w:val="21"/>
        </w:rPr>
        <w:t>（采购人）</w:t>
      </w:r>
      <w:r>
        <w:rPr>
          <w:rFonts w:hint="eastAsia" w:asciiTheme="majorEastAsia" w:hAnsiTheme="majorEastAsia" w:eastAsiaTheme="majorEastAsia" w:cstheme="majorEastAsia"/>
          <w:sz w:val="21"/>
          <w:szCs w:val="21"/>
          <w:u w:val="single"/>
          <w:lang w:eastAsia="zh-CN"/>
        </w:rPr>
        <w:t>2025年农村供水哈夫节采购项目</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（项目名称）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eastAsia="zh-CN"/>
        </w:rPr>
        <w:t xml:space="preserve">LYCG2025TY-018 </w:t>
      </w:r>
      <w:r>
        <w:rPr>
          <w:rFonts w:hint="eastAsia" w:asciiTheme="majorEastAsia" w:hAnsiTheme="majorEastAsia" w:eastAsiaTheme="majorEastAsia" w:cstheme="majorEastAsia"/>
          <w:sz w:val="21"/>
          <w:szCs w:val="21"/>
        </w:rPr>
        <w:t>（项目编号）政府采购活动，未与其他单位组成联合体。</w:t>
      </w:r>
    </w:p>
    <w:p>
      <w:pPr>
        <w:snapToGrid w:val="0"/>
        <w:spacing w:line="480" w:lineRule="auto"/>
        <w:ind w:firstLine="420"/>
        <w:rPr>
          <w:rFonts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本公司对上述声明的真实性负责。如有虚假，将依法承担相应责任。</w:t>
      </w:r>
    </w:p>
    <w:p>
      <w:pPr>
        <w:snapToGrid w:val="0"/>
        <w:spacing w:line="480" w:lineRule="auto"/>
        <w:ind w:firstLine="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特此声明！</w:t>
      </w:r>
    </w:p>
    <w:p>
      <w:pPr>
        <w:adjustRightInd w:val="0"/>
        <w:snapToGrid w:val="0"/>
        <w:spacing w:line="480" w:lineRule="auto"/>
        <w:ind w:firstLine="420"/>
        <w:rPr>
          <w:rFonts w:asciiTheme="majorEastAsia" w:hAnsiTheme="majorEastAsia" w:eastAsiaTheme="majorEastAsia" w:cstheme="majorEastAsia"/>
          <w:spacing w:val="20"/>
          <w:sz w:val="21"/>
          <w:szCs w:val="21"/>
          <w:u w:val="single"/>
        </w:rPr>
      </w:pPr>
      <w:r>
        <w:rPr>
          <w:rFonts w:hint="eastAsia" w:asciiTheme="majorEastAsia" w:hAnsiTheme="majorEastAsia" w:eastAsiaTheme="majorEastAsia" w:cstheme="majorEastAsia"/>
          <w:sz w:val="21"/>
          <w:szCs w:val="21"/>
        </w:rPr>
        <w:t>投标人全称：（盖单位公章）</w:t>
      </w:r>
    </w:p>
    <w:p>
      <w:pPr>
        <w:snapToGrid w:val="0"/>
        <w:spacing w:line="480" w:lineRule="auto"/>
        <w:ind w:firstLine="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日期：202</w:t>
      </w: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年月日</w:t>
      </w:r>
    </w:p>
    <w:p>
      <w:pPr>
        <w:pStyle w:val="2"/>
        <w:ind w:left="480" w:firstLine="480"/>
      </w:pPr>
    </w:p>
    <w:p>
      <w:pPr>
        <w:spacing w:line="360" w:lineRule="auto"/>
        <w:ind w:firstLine="482"/>
        <w:rPr>
          <w:rFonts w:ascii="宋体" w:hAnsi="宋体" w:cs="宋体"/>
          <w:b/>
        </w:rPr>
      </w:pPr>
    </w:p>
    <w:p>
      <w:pPr>
        <w:spacing w:line="360" w:lineRule="auto"/>
        <w:ind w:firstLine="643"/>
        <w:jc w:val="center"/>
        <w:rPr>
          <w:rFonts w:ascii="宋体" w:hAnsi="宋体" w:cs="宋体"/>
          <w:b/>
          <w:bCs/>
          <w:sz w:val="32"/>
          <w:szCs w:val="20"/>
        </w:rPr>
      </w:pPr>
    </w:p>
    <w:p>
      <w:pPr>
        <w:spacing w:line="360" w:lineRule="auto"/>
        <w:ind w:firstLine="643"/>
        <w:jc w:val="center"/>
        <w:rPr>
          <w:rFonts w:ascii="宋体" w:hAnsi="宋体" w:cs="宋体"/>
          <w:b/>
          <w:bCs/>
          <w:sz w:val="32"/>
          <w:szCs w:val="20"/>
        </w:rPr>
      </w:pPr>
      <w:r>
        <w:rPr>
          <w:rFonts w:hint="eastAsia" w:ascii="宋体" w:hAnsi="宋体" w:cs="宋体"/>
          <w:b/>
          <w:bCs/>
          <w:sz w:val="32"/>
          <w:szCs w:val="20"/>
        </w:rPr>
        <w:t>（二）资信技术文件</w:t>
      </w:r>
    </w:p>
    <w:p>
      <w:pPr>
        <w:snapToGrid w:val="0"/>
        <w:spacing w:before="50" w:after="167" w:afterLines="50"/>
        <w:ind w:firstLine="480"/>
        <w:jc w:val="center"/>
        <w:rPr>
          <w:rFonts w:ascii="宋体" w:hAnsi="宋体" w:cs="宋体"/>
          <w:b/>
          <w:sz w:val="30"/>
        </w:rPr>
      </w:pPr>
      <w:r>
        <w:rPr>
          <w:rFonts w:hint="eastAsia" w:ascii="宋体" w:hAnsi="宋体" w:cs="Arial"/>
          <w:kern w:val="0"/>
          <w:szCs w:val="21"/>
        </w:rPr>
        <w:t xml:space="preserve"> </w:t>
      </w:r>
      <w:r>
        <w:rPr>
          <w:rFonts w:hint="eastAsia" w:ascii="宋体" w:hAnsi="宋体" w:cs="宋体"/>
          <w:b/>
          <w:sz w:val="30"/>
        </w:rPr>
        <w:t>投标人自评分表（格式）</w:t>
      </w:r>
    </w:p>
    <w:tbl>
      <w:tblPr>
        <w:tblStyle w:val="37"/>
        <w:tblW w:w="879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1"/>
        <w:gridCol w:w="1037"/>
        <w:gridCol w:w="4378"/>
        <w:gridCol w:w="840"/>
        <w:gridCol w:w="897"/>
        <w:gridCol w:w="1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541" w:type="dxa"/>
            <w:vAlign w:val="center"/>
          </w:tcPr>
          <w:p>
            <w:pPr>
              <w:spacing w:line="260" w:lineRule="exact"/>
              <w:ind w:firstLine="0" w:firstLineChars="0"/>
              <w:rPr>
                <w:rFonts w:ascii="宋体" w:hAnsi="宋体"/>
              </w:rPr>
            </w:pPr>
            <w:r>
              <w:rPr>
                <w:rFonts w:hint="eastAsia" w:ascii="宋体" w:hAnsi="宋体"/>
              </w:rPr>
              <w:t>序号</w:t>
            </w:r>
          </w:p>
        </w:tc>
        <w:tc>
          <w:tcPr>
            <w:tcW w:w="1037" w:type="dxa"/>
            <w:vAlign w:val="center"/>
          </w:tcPr>
          <w:p>
            <w:pPr>
              <w:spacing w:line="260" w:lineRule="exact"/>
              <w:ind w:firstLine="0" w:firstLineChars="0"/>
              <w:jc w:val="center"/>
              <w:rPr>
                <w:rFonts w:ascii="宋体" w:hAnsi="宋体"/>
              </w:rPr>
            </w:pPr>
            <w:r>
              <w:rPr>
                <w:rFonts w:hint="eastAsia" w:ascii="宋体" w:hAnsi="宋体"/>
              </w:rPr>
              <w:t>评审</w:t>
            </w:r>
          </w:p>
          <w:p>
            <w:pPr>
              <w:spacing w:line="260" w:lineRule="exact"/>
              <w:ind w:firstLine="0" w:firstLineChars="0"/>
              <w:jc w:val="center"/>
              <w:rPr>
                <w:rFonts w:ascii="宋体" w:hAnsi="宋体"/>
              </w:rPr>
            </w:pPr>
            <w:r>
              <w:rPr>
                <w:rFonts w:hint="eastAsia" w:ascii="宋体" w:hAnsi="宋体"/>
              </w:rPr>
              <w:t>内容</w:t>
            </w:r>
          </w:p>
        </w:tc>
        <w:tc>
          <w:tcPr>
            <w:tcW w:w="4378" w:type="dxa"/>
            <w:vAlign w:val="center"/>
          </w:tcPr>
          <w:p>
            <w:pPr>
              <w:spacing w:line="260" w:lineRule="exact"/>
              <w:ind w:firstLine="480"/>
              <w:jc w:val="center"/>
              <w:rPr>
                <w:rFonts w:ascii="宋体" w:hAnsi="宋体"/>
              </w:rPr>
            </w:pPr>
            <w:r>
              <w:rPr>
                <w:rFonts w:hint="eastAsia" w:ascii="宋体" w:hAnsi="宋体"/>
              </w:rPr>
              <w:t>评分标准</w:t>
            </w:r>
          </w:p>
        </w:tc>
        <w:tc>
          <w:tcPr>
            <w:tcW w:w="840" w:type="dxa"/>
            <w:vAlign w:val="center"/>
          </w:tcPr>
          <w:p>
            <w:pPr>
              <w:spacing w:line="260" w:lineRule="exact"/>
              <w:ind w:firstLine="0" w:firstLineChars="0"/>
              <w:rPr>
                <w:rFonts w:ascii="宋体" w:hAnsi="宋体"/>
              </w:rPr>
            </w:pPr>
            <w:r>
              <w:rPr>
                <w:rFonts w:hint="eastAsia" w:ascii="宋体" w:hAnsi="宋体"/>
              </w:rPr>
              <w:t>分值</w:t>
            </w:r>
          </w:p>
        </w:tc>
        <w:tc>
          <w:tcPr>
            <w:tcW w:w="897" w:type="dxa"/>
            <w:vAlign w:val="center"/>
          </w:tcPr>
          <w:p>
            <w:pPr>
              <w:spacing w:line="260" w:lineRule="exact"/>
              <w:ind w:firstLine="0" w:firstLineChars="0"/>
              <w:rPr>
                <w:rFonts w:ascii="宋体" w:hAnsi="宋体"/>
              </w:rPr>
            </w:pPr>
            <w:r>
              <w:rPr>
                <w:rFonts w:hint="eastAsia" w:ascii="宋体" w:hAnsi="宋体"/>
              </w:rPr>
              <w:t>供应商自评分</w:t>
            </w:r>
          </w:p>
        </w:tc>
        <w:tc>
          <w:tcPr>
            <w:tcW w:w="1104" w:type="dxa"/>
            <w:vAlign w:val="center"/>
          </w:tcPr>
          <w:p>
            <w:pPr>
              <w:spacing w:line="260" w:lineRule="exact"/>
              <w:ind w:firstLine="0" w:firstLineChars="0"/>
              <w:rPr>
                <w:rFonts w:ascii="宋体" w:hAnsi="宋体"/>
              </w:rPr>
            </w:pPr>
            <w:r>
              <w:rPr>
                <w:rFonts w:hint="eastAsia" w:ascii="宋体" w:hAnsi="宋体"/>
              </w:rPr>
              <w:t>响应文件对应页码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541" w:type="dxa"/>
            <w:vAlign w:val="center"/>
          </w:tcPr>
          <w:p>
            <w:pPr>
              <w:spacing w:line="260" w:lineRule="exact"/>
              <w:ind w:firstLine="480"/>
              <w:jc w:val="center"/>
              <w:rPr>
                <w:rFonts w:ascii="宋体" w:hAnsi="宋体"/>
              </w:rPr>
            </w:pPr>
          </w:p>
        </w:tc>
        <w:tc>
          <w:tcPr>
            <w:tcW w:w="1037" w:type="dxa"/>
            <w:vAlign w:val="center"/>
          </w:tcPr>
          <w:p>
            <w:pPr>
              <w:spacing w:line="260" w:lineRule="exact"/>
              <w:ind w:firstLine="480"/>
              <w:jc w:val="center"/>
              <w:rPr>
                <w:rFonts w:ascii="宋体" w:hAnsi="宋体"/>
              </w:rPr>
            </w:pPr>
          </w:p>
        </w:tc>
        <w:tc>
          <w:tcPr>
            <w:tcW w:w="4378" w:type="dxa"/>
            <w:vAlign w:val="center"/>
          </w:tcPr>
          <w:p>
            <w:pPr>
              <w:spacing w:line="260" w:lineRule="exact"/>
              <w:ind w:firstLine="480"/>
              <w:jc w:val="center"/>
              <w:rPr>
                <w:rFonts w:ascii="宋体" w:hAnsi="宋体"/>
              </w:rPr>
            </w:pPr>
          </w:p>
        </w:tc>
        <w:tc>
          <w:tcPr>
            <w:tcW w:w="840" w:type="dxa"/>
            <w:vAlign w:val="center"/>
          </w:tcPr>
          <w:p>
            <w:pPr>
              <w:spacing w:line="260" w:lineRule="exact"/>
              <w:ind w:firstLine="480"/>
              <w:jc w:val="center"/>
              <w:rPr>
                <w:rFonts w:ascii="宋体" w:hAnsi="宋体"/>
              </w:rPr>
            </w:pPr>
          </w:p>
        </w:tc>
        <w:tc>
          <w:tcPr>
            <w:tcW w:w="897" w:type="dxa"/>
          </w:tcPr>
          <w:p>
            <w:pPr>
              <w:spacing w:line="260" w:lineRule="exact"/>
              <w:ind w:firstLine="480"/>
              <w:jc w:val="center"/>
              <w:rPr>
                <w:rFonts w:ascii="宋体" w:hAnsi="宋体"/>
              </w:rPr>
            </w:pPr>
          </w:p>
        </w:tc>
        <w:tc>
          <w:tcPr>
            <w:tcW w:w="1104" w:type="dxa"/>
          </w:tcPr>
          <w:p>
            <w:pPr>
              <w:spacing w:line="260" w:lineRule="exact"/>
              <w:ind w:firstLine="48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541" w:type="dxa"/>
            <w:vAlign w:val="center"/>
          </w:tcPr>
          <w:p>
            <w:pPr>
              <w:spacing w:line="260" w:lineRule="exact"/>
              <w:ind w:firstLine="480"/>
              <w:jc w:val="center"/>
              <w:rPr>
                <w:rFonts w:ascii="宋体" w:hAnsi="宋体"/>
              </w:rPr>
            </w:pPr>
          </w:p>
          <w:p>
            <w:pPr>
              <w:spacing w:line="260" w:lineRule="exact"/>
              <w:ind w:firstLine="480"/>
              <w:jc w:val="center"/>
              <w:rPr>
                <w:rFonts w:ascii="宋体" w:hAnsi="宋体"/>
              </w:rPr>
            </w:pPr>
          </w:p>
        </w:tc>
        <w:tc>
          <w:tcPr>
            <w:tcW w:w="1037" w:type="dxa"/>
            <w:vAlign w:val="center"/>
          </w:tcPr>
          <w:p>
            <w:pPr>
              <w:spacing w:line="260" w:lineRule="exact"/>
              <w:ind w:firstLine="480"/>
              <w:jc w:val="center"/>
              <w:rPr>
                <w:rFonts w:ascii="宋体" w:hAnsi="宋体"/>
              </w:rPr>
            </w:pPr>
          </w:p>
        </w:tc>
        <w:tc>
          <w:tcPr>
            <w:tcW w:w="4378" w:type="dxa"/>
            <w:vAlign w:val="center"/>
          </w:tcPr>
          <w:p>
            <w:pPr>
              <w:spacing w:line="260" w:lineRule="exact"/>
              <w:ind w:firstLine="480"/>
              <w:jc w:val="center"/>
              <w:rPr>
                <w:rFonts w:ascii="宋体" w:hAnsi="宋体"/>
              </w:rPr>
            </w:pPr>
          </w:p>
        </w:tc>
        <w:tc>
          <w:tcPr>
            <w:tcW w:w="840" w:type="dxa"/>
            <w:vAlign w:val="center"/>
          </w:tcPr>
          <w:p>
            <w:pPr>
              <w:spacing w:line="260" w:lineRule="exact"/>
              <w:ind w:firstLine="480"/>
              <w:jc w:val="center"/>
              <w:rPr>
                <w:rFonts w:ascii="宋体" w:hAnsi="宋体"/>
              </w:rPr>
            </w:pPr>
          </w:p>
        </w:tc>
        <w:tc>
          <w:tcPr>
            <w:tcW w:w="897" w:type="dxa"/>
          </w:tcPr>
          <w:p>
            <w:pPr>
              <w:spacing w:line="260" w:lineRule="exact"/>
              <w:ind w:firstLine="480"/>
              <w:jc w:val="center"/>
              <w:rPr>
                <w:rFonts w:ascii="宋体" w:hAnsi="宋体"/>
              </w:rPr>
            </w:pPr>
          </w:p>
        </w:tc>
        <w:tc>
          <w:tcPr>
            <w:tcW w:w="1104" w:type="dxa"/>
          </w:tcPr>
          <w:p>
            <w:pPr>
              <w:spacing w:line="260" w:lineRule="exact"/>
              <w:ind w:firstLine="48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541" w:type="dxa"/>
            <w:vAlign w:val="center"/>
          </w:tcPr>
          <w:p>
            <w:pPr>
              <w:spacing w:line="260" w:lineRule="exact"/>
              <w:ind w:firstLine="480"/>
              <w:jc w:val="center"/>
              <w:rPr>
                <w:rFonts w:ascii="宋体" w:hAnsi="宋体"/>
              </w:rPr>
            </w:pPr>
          </w:p>
        </w:tc>
        <w:tc>
          <w:tcPr>
            <w:tcW w:w="1037" w:type="dxa"/>
            <w:vAlign w:val="center"/>
          </w:tcPr>
          <w:p>
            <w:pPr>
              <w:spacing w:line="260" w:lineRule="exact"/>
              <w:ind w:firstLine="480"/>
              <w:jc w:val="center"/>
              <w:rPr>
                <w:rFonts w:ascii="宋体" w:hAnsi="宋体"/>
              </w:rPr>
            </w:pPr>
          </w:p>
        </w:tc>
        <w:tc>
          <w:tcPr>
            <w:tcW w:w="4378" w:type="dxa"/>
            <w:vAlign w:val="center"/>
          </w:tcPr>
          <w:p>
            <w:pPr>
              <w:spacing w:line="260" w:lineRule="exact"/>
              <w:ind w:firstLine="480"/>
              <w:jc w:val="center"/>
              <w:rPr>
                <w:rFonts w:ascii="宋体" w:hAnsi="宋体"/>
              </w:rPr>
            </w:pPr>
          </w:p>
        </w:tc>
        <w:tc>
          <w:tcPr>
            <w:tcW w:w="840" w:type="dxa"/>
            <w:vAlign w:val="center"/>
          </w:tcPr>
          <w:p>
            <w:pPr>
              <w:spacing w:line="260" w:lineRule="exact"/>
              <w:ind w:firstLine="480"/>
              <w:jc w:val="center"/>
              <w:rPr>
                <w:rFonts w:ascii="宋体" w:hAnsi="宋体"/>
              </w:rPr>
            </w:pPr>
          </w:p>
        </w:tc>
        <w:tc>
          <w:tcPr>
            <w:tcW w:w="897" w:type="dxa"/>
          </w:tcPr>
          <w:p>
            <w:pPr>
              <w:spacing w:line="260" w:lineRule="exact"/>
              <w:ind w:firstLine="480"/>
              <w:jc w:val="center"/>
              <w:rPr>
                <w:rFonts w:ascii="宋体" w:hAnsi="宋体"/>
              </w:rPr>
            </w:pPr>
          </w:p>
        </w:tc>
        <w:tc>
          <w:tcPr>
            <w:tcW w:w="1104" w:type="dxa"/>
          </w:tcPr>
          <w:p>
            <w:pPr>
              <w:spacing w:line="260" w:lineRule="exact"/>
              <w:ind w:firstLine="48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541" w:type="dxa"/>
            <w:vAlign w:val="center"/>
          </w:tcPr>
          <w:p>
            <w:pPr>
              <w:spacing w:line="260" w:lineRule="exact"/>
              <w:ind w:firstLine="480"/>
              <w:jc w:val="center"/>
              <w:rPr>
                <w:rFonts w:ascii="宋体" w:hAnsi="宋体"/>
              </w:rPr>
            </w:pPr>
          </w:p>
        </w:tc>
        <w:tc>
          <w:tcPr>
            <w:tcW w:w="1037" w:type="dxa"/>
            <w:vAlign w:val="center"/>
          </w:tcPr>
          <w:p>
            <w:pPr>
              <w:spacing w:line="260" w:lineRule="exact"/>
              <w:ind w:firstLine="480"/>
              <w:jc w:val="center"/>
              <w:rPr>
                <w:rFonts w:ascii="宋体" w:hAnsi="宋体"/>
              </w:rPr>
            </w:pPr>
          </w:p>
        </w:tc>
        <w:tc>
          <w:tcPr>
            <w:tcW w:w="4378" w:type="dxa"/>
            <w:vAlign w:val="center"/>
          </w:tcPr>
          <w:p>
            <w:pPr>
              <w:spacing w:line="260" w:lineRule="exact"/>
              <w:ind w:firstLine="480"/>
              <w:jc w:val="center"/>
              <w:rPr>
                <w:rFonts w:ascii="宋体" w:hAnsi="宋体"/>
              </w:rPr>
            </w:pPr>
          </w:p>
        </w:tc>
        <w:tc>
          <w:tcPr>
            <w:tcW w:w="840" w:type="dxa"/>
            <w:vAlign w:val="center"/>
          </w:tcPr>
          <w:p>
            <w:pPr>
              <w:spacing w:line="260" w:lineRule="exact"/>
              <w:ind w:firstLine="480"/>
              <w:jc w:val="center"/>
              <w:rPr>
                <w:rFonts w:ascii="宋体" w:hAnsi="宋体"/>
              </w:rPr>
            </w:pPr>
          </w:p>
        </w:tc>
        <w:tc>
          <w:tcPr>
            <w:tcW w:w="897" w:type="dxa"/>
          </w:tcPr>
          <w:p>
            <w:pPr>
              <w:spacing w:line="260" w:lineRule="exact"/>
              <w:ind w:firstLine="480"/>
              <w:jc w:val="center"/>
              <w:rPr>
                <w:rFonts w:ascii="宋体" w:hAnsi="宋体"/>
              </w:rPr>
            </w:pPr>
          </w:p>
        </w:tc>
        <w:tc>
          <w:tcPr>
            <w:tcW w:w="1104" w:type="dxa"/>
          </w:tcPr>
          <w:p>
            <w:pPr>
              <w:spacing w:line="260" w:lineRule="exact"/>
              <w:ind w:firstLine="48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541" w:type="dxa"/>
            <w:vAlign w:val="center"/>
          </w:tcPr>
          <w:p>
            <w:pPr>
              <w:spacing w:line="260" w:lineRule="exact"/>
              <w:ind w:firstLine="480"/>
              <w:jc w:val="center"/>
              <w:rPr>
                <w:rFonts w:ascii="宋体" w:hAnsi="宋体"/>
              </w:rPr>
            </w:pPr>
          </w:p>
        </w:tc>
        <w:tc>
          <w:tcPr>
            <w:tcW w:w="1037" w:type="dxa"/>
            <w:vAlign w:val="center"/>
          </w:tcPr>
          <w:p>
            <w:pPr>
              <w:spacing w:line="260" w:lineRule="exact"/>
              <w:ind w:firstLine="480"/>
              <w:jc w:val="center"/>
              <w:rPr>
                <w:rFonts w:ascii="宋体" w:hAnsi="宋体"/>
              </w:rPr>
            </w:pPr>
          </w:p>
        </w:tc>
        <w:tc>
          <w:tcPr>
            <w:tcW w:w="4378" w:type="dxa"/>
            <w:vAlign w:val="center"/>
          </w:tcPr>
          <w:p>
            <w:pPr>
              <w:spacing w:line="260" w:lineRule="exact"/>
              <w:ind w:firstLine="480"/>
              <w:jc w:val="center"/>
              <w:rPr>
                <w:rFonts w:ascii="宋体" w:hAnsi="宋体"/>
              </w:rPr>
            </w:pPr>
          </w:p>
        </w:tc>
        <w:tc>
          <w:tcPr>
            <w:tcW w:w="840" w:type="dxa"/>
            <w:vAlign w:val="center"/>
          </w:tcPr>
          <w:p>
            <w:pPr>
              <w:spacing w:line="260" w:lineRule="exact"/>
              <w:ind w:firstLine="480"/>
              <w:jc w:val="center"/>
              <w:rPr>
                <w:rFonts w:ascii="宋体" w:hAnsi="宋体"/>
              </w:rPr>
            </w:pPr>
          </w:p>
        </w:tc>
        <w:tc>
          <w:tcPr>
            <w:tcW w:w="897" w:type="dxa"/>
          </w:tcPr>
          <w:p>
            <w:pPr>
              <w:spacing w:line="260" w:lineRule="exact"/>
              <w:ind w:firstLine="480"/>
              <w:jc w:val="center"/>
              <w:rPr>
                <w:rFonts w:ascii="宋体" w:hAnsi="宋体"/>
              </w:rPr>
            </w:pPr>
          </w:p>
        </w:tc>
        <w:tc>
          <w:tcPr>
            <w:tcW w:w="1104" w:type="dxa"/>
          </w:tcPr>
          <w:p>
            <w:pPr>
              <w:spacing w:line="260" w:lineRule="exact"/>
              <w:ind w:firstLine="48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541" w:type="dxa"/>
            <w:vAlign w:val="center"/>
          </w:tcPr>
          <w:p>
            <w:pPr>
              <w:spacing w:line="260" w:lineRule="exact"/>
              <w:ind w:firstLine="480"/>
              <w:jc w:val="center"/>
              <w:rPr>
                <w:rFonts w:ascii="宋体" w:hAnsi="宋体"/>
              </w:rPr>
            </w:pPr>
          </w:p>
        </w:tc>
        <w:tc>
          <w:tcPr>
            <w:tcW w:w="1037" w:type="dxa"/>
            <w:vAlign w:val="center"/>
          </w:tcPr>
          <w:p>
            <w:pPr>
              <w:spacing w:line="260" w:lineRule="exact"/>
              <w:ind w:firstLine="480"/>
              <w:jc w:val="center"/>
              <w:rPr>
                <w:rFonts w:ascii="宋体" w:hAnsi="宋体"/>
              </w:rPr>
            </w:pPr>
          </w:p>
        </w:tc>
        <w:tc>
          <w:tcPr>
            <w:tcW w:w="4378" w:type="dxa"/>
            <w:vAlign w:val="center"/>
          </w:tcPr>
          <w:p>
            <w:pPr>
              <w:spacing w:line="260" w:lineRule="exact"/>
              <w:ind w:firstLine="480"/>
              <w:jc w:val="center"/>
              <w:rPr>
                <w:rFonts w:ascii="宋体" w:hAnsi="宋体"/>
              </w:rPr>
            </w:pPr>
          </w:p>
        </w:tc>
        <w:tc>
          <w:tcPr>
            <w:tcW w:w="840" w:type="dxa"/>
            <w:vAlign w:val="center"/>
          </w:tcPr>
          <w:p>
            <w:pPr>
              <w:spacing w:line="260" w:lineRule="exact"/>
              <w:ind w:firstLine="480"/>
              <w:jc w:val="center"/>
              <w:rPr>
                <w:rFonts w:ascii="宋体" w:hAnsi="宋体"/>
              </w:rPr>
            </w:pPr>
          </w:p>
        </w:tc>
        <w:tc>
          <w:tcPr>
            <w:tcW w:w="897" w:type="dxa"/>
          </w:tcPr>
          <w:p>
            <w:pPr>
              <w:spacing w:line="260" w:lineRule="exact"/>
              <w:ind w:firstLine="480"/>
              <w:jc w:val="center"/>
              <w:rPr>
                <w:rFonts w:ascii="宋体" w:hAnsi="宋体"/>
              </w:rPr>
            </w:pPr>
          </w:p>
        </w:tc>
        <w:tc>
          <w:tcPr>
            <w:tcW w:w="1104" w:type="dxa"/>
          </w:tcPr>
          <w:p>
            <w:pPr>
              <w:spacing w:line="260" w:lineRule="exact"/>
              <w:ind w:firstLine="48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541" w:type="dxa"/>
            <w:vAlign w:val="center"/>
          </w:tcPr>
          <w:p>
            <w:pPr>
              <w:spacing w:line="260" w:lineRule="exact"/>
              <w:ind w:firstLine="480"/>
              <w:jc w:val="center"/>
              <w:rPr>
                <w:rFonts w:ascii="宋体" w:hAnsi="宋体"/>
              </w:rPr>
            </w:pPr>
          </w:p>
        </w:tc>
        <w:tc>
          <w:tcPr>
            <w:tcW w:w="1037" w:type="dxa"/>
            <w:vAlign w:val="center"/>
          </w:tcPr>
          <w:p>
            <w:pPr>
              <w:spacing w:line="260" w:lineRule="exact"/>
              <w:ind w:firstLine="480"/>
              <w:jc w:val="center"/>
              <w:rPr>
                <w:rFonts w:ascii="宋体" w:hAnsi="宋体"/>
              </w:rPr>
            </w:pPr>
          </w:p>
        </w:tc>
        <w:tc>
          <w:tcPr>
            <w:tcW w:w="4378" w:type="dxa"/>
            <w:vAlign w:val="center"/>
          </w:tcPr>
          <w:p>
            <w:pPr>
              <w:spacing w:line="260" w:lineRule="exact"/>
              <w:ind w:firstLine="480"/>
              <w:jc w:val="center"/>
              <w:rPr>
                <w:rFonts w:ascii="宋体" w:hAnsi="宋体"/>
              </w:rPr>
            </w:pPr>
          </w:p>
        </w:tc>
        <w:tc>
          <w:tcPr>
            <w:tcW w:w="840" w:type="dxa"/>
            <w:vAlign w:val="center"/>
          </w:tcPr>
          <w:p>
            <w:pPr>
              <w:spacing w:line="260" w:lineRule="exact"/>
              <w:ind w:firstLine="480"/>
              <w:jc w:val="center"/>
              <w:rPr>
                <w:rFonts w:ascii="宋体" w:hAnsi="宋体"/>
              </w:rPr>
            </w:pPr>
          </w:p>
        </w:tc>
        <w:tc>
          <w:tcPr>
            <w:tcW w:w="897" w:type="dxa"/>
          </w:tcPr>
          <w:p>
            <w:pPr>
              <w:spacing w:line="260" w:lineRule="exact"/>
              <w:ind w:firstLine="480"/>
              <w:jc w:val="center"/>
              <w:rPr>
                <w:rFonts w:ascii="宋体" w:hAnsi="宋体"/>
              </w:rPr>
            </w:pPr>
          </w:p>
        </w:tc>
        <w:tc>
          <w:tcPr>
            <w:tcW w:w="1104" w:type="dxa"/>
          </w:tcPr>
          <w:p>
            <w:pPr>
              <w:spacing w:line="260" w:lineRule="exact"/>
              <w:ind w:firstLine="48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jc w:val="center"/>
        </w:trPr>
        <w:tc>
          <w:tcPr>
            <w:tcW w:w="541" w:type="dxa"/>
            <w:vAlign w:val="center"/>
          </w:tcPr>
          <w:p>
            <w:pPr>
              <w:spacing w:line="260" w:lineRule="exact"/>
              <w:ind w:firstLine="480"/>
              <w:jc w:val="center"/>
              <w:rPr>
                <w:rFonts w:ascii="宋体" w:hAnsi="宋体"/>
              </w:rPr>
            </w:pPr>
          </w:p>
        </w:tc>
        <w:tc>
          <w:tcPr>
            <w:tcW w:w="1037" w:type="dxa"/>
            <w:vAlign w:val="center"/>
          </w:tcPr>
          <w:p>
            <w:pPr>
              <w:spacing w:line="260" w:lineRule="exact"/>
              <w:ind w:firstLine="480"/>
              <w:jc w:val="center"/>
              <w:rPr>
                <w:rFonts w:ascii="宋体" w:hAnsi="宋体"/>
              </w:rPr>
            </w:pPr>
          </w:p>
        </w:tc>
        <w:tc>
          <w:tcPr>
            <w:tcW w:w="4378" w:type="dxa"/>
            <w:vAlign w:val="center"/>
          </w:tcPr>
          <w:p>
            <w:pPr>
              <w:spacing w:line="260" w:lineRule="exact"/>
              <w:ind w:firstLine="480"/>
              <w:jc w:val="center"/>
              <w:rPr>
                <w:rFonts w:ascii="宋体" w:hAnsi="宋体"/>
              </w:rPr>
            </w:pPr>
          </w:p>
        </w:tc>
        <w:tc>
          <w:tcPr>
            <w:tcW w:w="840" w:type="dxa"/>
            <w:vAlign w:val="center"/>
          </w:tcPr>
          <w:p>
            <w:pPr>
              <w:spacing w:line="260" w:lineRule="exact"/>
              <w:ind w:firstLine="480"/>
              <w:jc w:val="center"/>
              <w:rPr>
                <w:rFonts w:ascii="宋体" w:hAnsi="宋体"/>
              </w:rPr>
            </w:pPr>
          </w:p>
        </w:tc>
        <w:tc>
          <w:tcPr>
            <w:tcW w:w="897" w:type="dxa"/>
          </w:tcPr>
          <w:p>
            <w:pPr>
              <w:spacing w:line="260" w:lineRule="exact"/>
              <w:ind w:firstLine="480"/>
              <w:jc w:val="center"/>
              <w:rPr>
                <w:rFonts w:ascii="宋体" w:hAnsi="宋体"/>
              </w:rPr>
            </w:pPr>
          </w:p>
        </w:tc>
        <w:tc>
          <w:tcPr>
            <w:tcW w:w="1104" w:type="dxa"/>
          </w:tcPr>
          <w:p>
            <w:pPr>
              <w:spacing w:line="260" w:lineRule="exact"/>
              <w:ind w:firstLine="48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541" w:type="dxa"/>
            <w:vAlign w:val="center"/>
          </w:tcPr>
          <w:p>
            <w:pPr>
              <w:spacing w:line="260" w:lineRule="exact"/>
              <w:ind w:firstLine="480"/>
              <w:jc w:val="center"/>
              <w:rPr>
                <w:rFonts w:ascii="宋体" w:hAnsi="宋体"/>
              </w:rPr>
            </w:pPr>
          </w:p>
        </w:tc>
        <w:tc>
          <w:tcPr>
            <w:tcW w:w="1037" w:type="dxa"/>
            <w:vAlign w:val="center"/>
          </w:tcPr>
          <w:p>
            <w:pPr>
              <w:spacing w:line="260" w:lineRule="exact"/>
              <w:ind w:firstLine="0" w:firstLineChars="0"/>
              <w:rPr>
                <w:rFonts w:ascii="宋体" w:hAnsi="宋体"/>
              </w:rPr>
            </w:pPr>
            <w:r>
              <w:rPr>
                <w:rFonts w:hint="eastAsia" w:ascii="宋体" w:hAnsi="宋体"/>
              </w:rPr>
              <w:t>...</w:t>
            </w:r>
          </w:p>
        </w:tc>
        <w:tc>
          <w:tcPr>
            <w:tcW w:w="4378" w:type="dxa"/>
            <w:tcBorders>
              <w:bottom w:val="single" w:color="auto" w:sz="4" w:space="0"/>
            </w:tcBorders>
            <w:vAlign w:val="center"/>
          </w:tcPr>
          <w:p>
            <w:pPr>
              <w:spacing w:line="260" w:lineRule="exact"/>
              <w:ind w:firstLine="480"/>
              <w:jc w:val="center"/>
              <w:rPr>
                <w:rFonts w:ascii="宋体" w:hAnsi="宋体"/>
              </w:rPr>
            </w:pPr>
            <w:r>
              <w:rPr>
                <w:rFonts w:hint="eastAsia" w:ascii="宋体" w:hAnsi="宋体"/>
              </w:rPr>
              <w:t>...</w:t>
            </w:r>
          </w:p>
        </w:tc>
        <w:tc>
          <w:tcPr>
            <w:tcW w:w="840" w:type="dxa"/>
            <w:tcBorders>
              <w:bottom w:val="single" w:color="auto" w:sz="4" w:space="0"/>
            </w:tcBorders>
            <w:vAlign w:val="center"/>
          </w:tcPr>
          <w:p>
            <w:pPr>
              <w:spacing w:line="260" w:lineRule="exact"/>
              <w:ind w:firstLine="0" w:firstLineChars="0"/>
              <w:jc w:val="center"/>
              <w:rPr>
                <w:rFonts w:ascii="宋体" w:hAnsi="宋体"/>
              </w:rPr>
            </w:pPr>
            <w:r>
              <w:rPr>
                <w:rFonts w:hint="eastAsia" w:ascii="宋体" w:hAnsi="宋体"/>
              </w:rPr>
              <w:t>...</w:t>
            </w:r>
          </w:p>
        </w:tc>
        <w:tc>
          <w:tcPr>
            <w:tcW w:w="897" w:type="dxa"/>
            <w:tcBorders>
              <w:bottom w:val="single" w:color="auto" w:sz="4" w:space="0"/>
            </w:tcBorders>
            <w:vAlign w:val="center"/>
          </w:tcPr>
          <w:p>
            <w:pPr>
              <w:spacing w:line="260" w:lineRule="exact"/>
              <w:ind w:firstLine="0" w:firstLineChars="0"/>
              <w:rPr>
                <w:rFonts w:ascii="宋体" w:hAnsi="宋体"/>
              </w:rPr>
            </w:pPr>
            <w:r>
              <w:rPr>
                <w:rFonts w:hint="eastAsia" w:ascii="宋体" w:hAnsi="宋体"/>
              </w:rPr>
              <w:t>...</w:t>
            </w:r>
          </w:p>
        </w:tc>
        <w:tc>
          <w:tcPr>
            <w:tcW w:w="1104" w:type="dxa"/>
            <w:tcBorders>
              <w:bottom w:val="single" w:color="auto" w:sz="4" w:space="0"/>
            </w:tcBorders>
            <w:vAlign w:val="center"/>
          </w:tcPr>
          <w:p>
            <w:pPr>
              <w:spacing w:line="260" w:lineRule="exact"/>
              <w:ind w:firstLine="480"/>
              <w:jc w:val="center"/>
              <w:rPr>
                <w:rFonts w:ascii="宋体" w:hAnsi="宋体"/>
              </w:rPr>
            </w:pPr>
            <w:r>
              <w:rPr>
                <w:rFonts w:hint="eastAsia" w:ascii="宋体" w:hAnsi="宋体"/>
              </w:rPr>
              <w:t>...</w:t>
            </w:r>
          </w:p>
        </w:tc>
      </w:tr>
    </w:tbl>
    <w:p>
      <w:pPr>
        <w:spacing w:line="360" w:lineRule="auto"/>
        <w:ind w:firstLine="643"/>
        <w:rPr>
          <w:rFonts w:ascii="宋体" w:hAnsi="宋体" w:cs="宋体"/>
          <w:b/>
          <w:bCs/>
          <w:sz w:val="32"/>
          <w:szCs w:val="20"/>
        </w:rPr>
      </w:pPr>
    </w:p>
    <w:p>
      <w:pPr>
        <w:pStyle w:val="12"/>
        <w:ind w:firstLine="643"/>
        <w:rPr>
          <w:rFonts w:ascii="宋体" w:hAnsi="宋体" w:cs="宋体"/>
          <w:b/>
          <w:bCs/>
          <w:sz w:val="32"/>
          <w:szCs w:val="20"/>
        </w:rPr>
      </w:pPr>
    </w:p>
    <w:p>
      <w:pPr>
        <w:ind w:firstLine="643"/>
        <w:rPr>
          <w:rFonts w:ascii="宋体" w:hAnsi="宋体" w:cs="宋体"/>
          <w:b/>
          <w:bCs/>
          <w:sz w:val="32"/>
          <w:szCs w:val="20"/>
        </w:rPr>
      </w:pPr>
    </w:p>
    <w:p>
      <w:pPr>
        <w:pStyle w:val="12"/>
        <w:ind w:firstLine="643"/>
        <w:rPr>
          <w:rFonts w:ascii="宋体" w:hAnsi="宋体" w:cs="宋体"/>
          <w:b/>
          <w:bCs/>
          <w:sz w:val="32"/>
          <w:szCs w:val="20"/>
        </w:rPr>
      </w:pPr>
    </w:p>
    <w:p>
      <w:pPr>
        <w:ind w:firstLine="643"/>
        <w:rPr>
          <w:rFonts w:ascii="宋体" w:hAnsi="宋体" w:cs="宋体"/>
          <w:b/>
          <w:bCs/>
          <w:sz w:val="32"/>
          <w:szCs w:val="20"/>
        </w:rPr>
      </w:pPr>
    </w:p>
    <w:p>
      <w:pPr>
        <w:pStyle w:val="12"/>
        <w:ind w:firstLine="643"/>
        <w:rPr>
          <w:rFonts w:ascii="宋体" w:hAnsi="宋体" w:cs="宋体"/>
          <w:b/>
          <w:bCs/>
          <w:sz w:val="32"/>
          <w:szCs w:val="20"/>
        </w:rPr>
      </w:pPr>
    </w:p>
    <w:p>
      <w:pPr>
        <w:ind w:firstLine="480"/>
      </w:pPr>
    </w:p>
    <w:p>
      <w:pPr>
        <w:ind w:firstLine="0" w:firstLineChars="0"/>
      </w:pPr>
    </w:p>
    <w:p>
      <w:pPr>
        <w:ind w:firstLine="0" w:firstLineChars="0"/>
        <w:outlineLvl w:val="0"/>
        <w:rPr>
          <w:rFonts w:ascii="宋体" w:hAnsi="宋体" w:cs="宋体"/>
          <w:b/>
        </w:rPr>
      </w:pPr>
      <w:bookmarkStart w:id="405" w:name="_Toc5033"/>
      <w:bookmarkStart w:id="406" w:name="_Toc25138"/>
      <w:r>
        <w:rPr>
          <w:rFonts w:hint="eastAsia" w:ascii="宋体" w:hAnsi="宋体" w:cs="宋体"/>
          <w:b/>
        </w:rPr>
        <w:t>一、法定代表人资格证明书及授权委托书格式</w:t>
      </w:r>
      <w:bookmarkEnd w:id="405"/>
      <w:bookmarkEnd w:id="406"/>
    </w:p>
    <w:p>
      <w:pPr>
        <w:ind w:firstLine="0" w:firstLineChars="0"/>
        <w:rPr>
          <w:rFonts w:ascii="宋体" w:hAnsi="宋体" w:cs="宋体"/>
          <w:b/>
        </w:rPr>
      </w:pPr>
    </w:p>
    <w:p>
      <w:pPr>
        <w:ind w:firstLine="480"/>
        <w:rPr>
          <w:rFonts w:ascii="宋体" w:hAnsi="宋体" w:cs="宋体"/>
        </w:rPr>
      </w:pPr>
    </w:p>
    <w:p>
      <w:pPr>
        <w:pStyle w:val="19"/>
        <w:adjustRightInd w:val="0"/>
        <w:snapToGrid w:val="0"/>
        <w:spacing w:line="360" w:lineRule="auto"/>
        <w:ind w:firstLine="643"/>
        <w:jc w:val="center"/>
        <w:outlineLvl w:val="1"/>
        <w:rPr>
          <w:rFonts w:hAnsi="宋体"/>
          <w:b/>
          <w:bCs/>
          <w:sz w:val="32"/>
        </w:rPr>
      </w:pPr>
      <w:bookmarkStart w:id="407" w:name="_Toc5865"/>
      <w:r>
        <w:rPr>
          <w:rFonts w:hint="eastAsia" w:hAnsi="宋体"/>
          <w:b/>
          <w:bCs/>
          <w:sz w:val="32"/>
        </w:rPr>
        <w:t>（1-1）法定代表人资格证明书</w:t>
      </w:r>
      <w:bookmarkEnd w:id="407"/>
    </w:p>
    <w:p>
      <w:pPr>
        <w:pStyle w:val="19"/>
        <w:adjustRightInd w:val="0"/>
        <w:spacing w:line="360" w:lineRule="auto"/>
        <w:ind w:firstLine="480" w:firstLineChars="229"/>
        <w:rPr>
          <w:rFonts w:hAnsi="宋体"/>
          <w:u w:val="single"/>
        </w:rPr>
      </w:pPr>
      <w:r>
        <w:rPr>
          <w:rFonts w:hint="eastAsia" w:ascii="Arial" w:hAnsi="Arial" w:cs="Arial"/>
          <w:u w:val="single"/>
          <w:lang w:eastAsia="zh-CN"/>
        </w:rPr>
        <w:t>龙游华水农村供水发展有限公司</w:t>
      </w:r>
      <w:r>
        <w:rPr>
          <w:rFonts w:hint="eastAsia" w:hAnsi="宋体"/>
          <w:u w:val="single"/>
        </w:rPr>
        <w:t>：</w:t>
      </w:r>
    </w:p>
    <w:p>
      <w:pPr>
        <w:pStyle w:val="19"/>
        <w:adjustRightInd w:val="0"/>
        <w:spacing w:line="360" w:lineRule="auto"/>
        <w:ind w:firstLine="420"/>
        <w:rPr>
          <w:rFonts w:hAnsi="宋体"/>
          <w:u w:val="single"/>
        </w:rPr>
      </w:pPr>
      <w:r>
        <w:rPr>
          <w:rFonts w:hint="eastAsia" w:hAnsi="宋体"/>
          <w:u w:val="single"/>
        </w:rPr>
        <w:t>泰宇建筑工程技术咨询有限公司：</w:t>
      </w:r>
    </w:p>
    <w:p>
      <w:pPr>
        <w:pStyle w:val="19"/>
        <w:adjustRightInd w:val="0"/>
        <w:spacing w:line="360" w:lineRule="auto"/>
        <w:ind w:firstLine="420"/>
        <w:rPr>
          <w:rFonts w:hAnsi="宋体"/>
        </w:rPr>
      </w:pPr>
    </w:p>
    <w:p>
      <w:pPr>
        <w:pStyle w:val="3"/>
        <w:adjustRightInd w:val="0"/>
        <w:spacing w:line="360" w:lineRule="auto"/>
        <w:ind w:left="480" w:firstLine="420"/>
        <w:rPr>
          <w:rFonts w:asciiTheme="majorEastAsia" w:hAnsiTheme="majorEastAsia" w:eastAsiaTheme="majorEastAsia" w:cstheme="majorEastAsia"/>
          <w:snapToGrid w:val="0"/>
          <w:sz w:val="21"/>
          <w:szCs w:val="21"/>
        </w:rPr>
      </w:pPr>
      <w:r>
        <w:rPr>
          <w:rFonts w:hint="eastAsia" w:asciiTheme="majorEastAsia" w:hAnsiTheme="majorEastAsia" w:eastAsiaTheme="majorEastAsia" w:cstheme="majorEastAsia"/>
          <w:snapToGrid w:val="0"/>
          <w:sz w:val="21"/>
          <w:szCs w:val="21"/>
          <w:u w:val="single"/>
        </w:rPr>
        <w:t>（姓名）</w:t>
      </w:r>
      <w:r>
        <w:rPr>
          <w:rFonts w:hint="eastAsia" w:asciiTheme="majorEastAsia" w:hAnsiTheme="majorEastAsia" w:eastAsiaTheme="majorEastAsia" w:cstheme="majorEastAsia"/>
          <w:snapToGrid w:val="0"/>
          <w:sz w:val="21"/>
          <w:szCs w:val="21"/>
        </w:rPr>
        <w:t>系</w:t>
      </w:r>
      <w:r>
        <w:rPr>
          <w:rFonts w:hint="eastAsia" w:asciiTheme="majorEastAsia" w:hAnsiTheme="majorEastAsia" w:eastAsiaTheme="majorEastAsia" w:cstheme="majorEastAsia"/>
          <w:snapToGrid w:val="0"/>
          <w:sz w:val="21"/>
          <w:szCs w:val="21"/>
          <w:u w:val="single"/>
        </w:rPr>
        <w:t>（单位名称）</w:t>
      </w:r>
      <w:r>
        <w:rPr>
          <w:rFonts w:hint="eastAsia" w:asciiTheme="majorEastAsia" w:hAnsiTheme="majorEastAsia" w:eastAsiaTheme="majorEastAsia" w:cstheme="majorEastAsia"/>
          <w:snapToGrid w:val="0"/>
          <w:sz w:val="21"/>
          <w:szCs w:val="21"/>
        </w:rPr>
        <w:t>的法定代表人，</w:t>
      </w:r>
      <w:r>
        <w:rPr>
          <w:rFonts w:hint="eastAsia" w:asciiTheme="majorEastAsia" w:hAnsiTheme="majorEastAsia" w:eastAsiaTheme="majorEastAsia" w:cstheme="majorEastAsia"/>
          <w:snapToGrid w:val="0"/>
          <w:sz w:val="21"/>
          <w:szCs w:val="21"/>
          <w:u w:val="single"/>
        </w:rPr>
        <w:t>（身份证号）</w:t>
      </w:r>
      <w:r>
        <w:rPr>
          <w:rFonts w:hint="eastAsia" w:asciiTheme="majorEastAsia" w:hAnsiTheme="majorEastAsia" w:eastAsiaTheme="majorEastAsia" w:cstheme="majorEastAsia"/>
          <w:snapToGrid w:val="0"/>
          <w:sz w:val="21"/>
          <w:szCs w:val="21"/>
        </w:rPr>
        <w:t>。</w:t>
      </w:r>
    </w:p>
    <w:p>
      <w:pPr>
        <w:pStyle w:val="3"/>
        <w:adjustRightInd w:val="0"/>
        <w:spacing w:line="360" w:lineRule="auto"/>
        <w:ind w:left="480" w:firstLine="420"/>
        <w:rPr>
          <w:rFonts w:asciiTheme="majorEastAsia" w:hAnsiTheme="majorEastAsia" w:eastAsiaTheme="majorEastAsia" w:cstheme="majorEastAsia"/>
          <w:snapToGrid w:val="0"/>
          <w:sz w:val="21"/>
          <w:szCs w:val="21"/>
        </w:rPr>
      </w:pPr>
      <w:r>
        <w:rPr>
          <w:rFonts w:hint="eastAsia" w:asciiTheme="majorEastAsia" w:hAnsiTheme="majorEastAsia" w:eastAsiaTheme="majorEastAsia" w:cstheme="majorEastAsia"/>
          <w:snapToGrid w:val="0"/>
          <w:sz w:val="21"/>
          <w:szCs w:val="21"/>
        </w:rPr>
        <w:t>特此证明。</w:t>
      </w:r>
    </w:p>
    <w:p>
      <w:pPr>
        <w:pStyle w:val="3"/>
        <w:adjustRightInd w:val="0"/>
        <w:spacing w:line="360" w:lineRule="auto"/>
        <w:ind w:left="0" w:leftChars="0" w:firstLine="420"/>
        <w:rPr>
          <w:rFonts w:asciiTheme="majorEastAsia" w:hAnsiTheme="majorEastAsia" w:eastAsiaTheme="majorEastAsia" w:cstheme="majorEastAsia"/>
          <w:bCs/>
          <w:snapToGrid w:val="0"/>
          <w:kern w:val="0"/>
          <w:sz w:val="21"/>
          <w:szCs w:val="21"/>
        </w:rPr>
      </w:pPr>
      <w:r>
        <w:rPr>
          <w:rFonts w:hint="eastAsia" w:asciiTheme="majorEastAsia" w:hAnsiTheme="majorEastAsia" w:eastAsiaTheme="majorEastAsia" w:cstheme="majorEastAsia"/>
          <w:bCs/>
          <w:snapToGrid w:val="0"/>
          <w:kern w:val="0"/>
          <w:sz w:val="21"/>
          <w:szCs w:val="21"/>
        </w:rPr>
        <w:t>投标人全称：（盖单位公章）</w:t>
      </w:r>
    </w:p>
    <w:p>
      <w:pPr>
        <w:adjustRightInd w:val="0"/>
        <w:snapToGrid w:val="0"/>
        <w:spacing w:line="360" w:lineRule="auto"/>
        <w:ind w:firstLine="420"/>
        <w:rPr>
          <w:rFonts w:asciiTheme="majorEastAsia" w:hAnsiTheme="majorEastAsia" w:eastAsiaTheme="majorEastAsia" w:cstheme="majorEastAsia"/>
          <w:bCs/>
          <w:snapToGrid w:val="0"/>
          <w:kern w:val="0"/>
          <w:sz w:val="21"/>
          <w:szCs w:val="21"/>
        </w:rPr>
      </w:pPr>
      <w:r>
        <w:rPr>
          <w:rFonts w:hint="eastAsia" w:asciiTheme="majorEastAsia" w:hAnsiTheme="majorEastAsia" w:eastAsiaTheme="majorEastAsia" w:cstheme="majorEastAsia"/>
          <w:bCs/>
          <w:snapToGrid w:val="0"/>
          <w:kern w:val="0"/>
          <w:sz w:val="21"/>
          <w:szCs w:val="21"/>
        </w:rPr>
        <w:t>日期：年 月 日</w:t>
      </w:r>
    </w:p>
    <w:p>
      <w:pPr>
        <w:adjustRightInd w:val="0"/>
        <w:snapToGrid w:val="0"/>
        <w:spacing w:line="360" w:lineRule="auto"/>
        <w:ind w:firstLine="480"/>
        <w:rPr>
          <w:rFonts w:asciiTheme="majorEastAsia" w:hAnsiTheme="majorEastAsia" w:eastAsiaTheme="majorEastAsia" w:cstheme="majorEastAsia"/>
          <w:snapToGrid w:val="0"/>
          <w:kern w:val="0"/>
          <w:szCs w:val="21"/>
        </w:rPr>
      </w:pPr>
      <w:r>
        <w:rPr>
          <w:rFonts w:hint="eastAsia" w:asciiTheme="majorEastAsia" w:hAnsiTheme="majorEastAsia" w:eastAsiaTheme="majorEastAsia" w:cstheme="majorEastAsia"/>
          <w:snapToGrid w:val="0"/>
          <w:kern w:val="0"/>
          <w:szCs w:val="21"/>
        </w:rPr>
        <w:t>附：</w:t>
      </w:r>
    </w:p>
    <w:p>
      <w:pPr>
        <w:adjustRightInd w:val="0"/>
        <w:snapToGrid w:val="0"/>
        <w:spacing w:line="360" w:lineRule="auto"/>
        <w:ind w:firstLine="420"/>
        <w:rPr>
          <w:rFonts w:asciiTheme="majorEastAsia" w:hAnsiTheme="majorEastAsia" w:eastAsiaTheme="majorEastAsia" w:cstheme="majorEastAsia"/>
          <w:snapToGrid w:val="0"/>
          <w:kern w:val="0"/>
          <w:sz w:val="21"/>
          <w:szCs w:val="21"/>
        </w:rPr>
      </w:pPr>
      <w:r>
        <w:rPr>
          <w:rFonts w:hint="eastAsia" w:asciiTheme="majorEastAsia" w:hAnsiTheme="majorEastAsia" w:eastAsiaTheme="majorEastAsia" w:cstheme="majorEastAsia"/>
          <w:snapToGrid w:val="0"/>
          <w:kern w:val="0"/>
          <w:sz w:val="21"/>
          <w:szCs w:val="21"/>
        </w:rPr>
        <w:t>法定代表人联系方式及身份证复印件</w:t>
      </w:r>
    </w:p>
    <w:p>
      <w:pPr>
        <w:adjustRightInd w:val="0"/>
        <w:snapToGrid w:val="0"/>
        <w:spacing w:line="360" w:lineRule="auto"/>
        <w:ind w:firstLine="482"/>
        <w:rPr>
          <w:rFonts w:ascii="宋体" w:hAnsi="宋体" w:cs="宋体"/>
          <w:b/>
          <w:snapToGrid w:val="0"/>
          <w:kern w:val="0"/>
          <w:szCs w:val="21"/>
        </w:rPr>
      </w:pPr>
      <w:r>
        <w:rPr>
          <w:rFonts w:hint="eastAsia" w:ascii="宋体" w:hAnsi="宋体" w:cs="宋体"/>
          <w:b/>
          <w:snapToGrid w:val="0"/>
          <w:kern w:val="0"/>
          <w:szCs w:val="21"/>
        </w:rPr>
        <w:t>注：法定代表人直接签署投标文件并参加投标的，在投标文件中出具此资格证明书及身份证复印件。</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7"/>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trPr>
        <w:tc>
          <w:tcPr>
            <w:tcW w:w="5263" w:type="dxa"/>
          </w:tcPr>
          <w:p>
            <w:pPr>
              <w:adjustRightInd w:val="0"/>
              <w:snapToGrid w:val="0"/>
              <w:spacing w:line="360" w:lineRule="auto"/>
              <w:ind w:firstLine="482"/>
              <w:rPr>
                <w:rFonts w:ascii="宋体" w:hAnsi="宋体" w:eastAsia="宋体" w:cs="宋体"/>
                <w:b/>
                <w:snapToGrid w:val="0"/>
                <w:kern w:val="0"/>
                <w:szCs w:val="21"/>
              </w:rPr>
            </w:pPr>
            <w:r>
              <w:rPr>
                <w:rFonts w:hint="eastAsia" w:ascii="宋体" w:hAnsi="宋体" w:cs="宋体"/>
                <w:b/>
                <w:snapToGrid w:val="0"/>
                <w:kern w:val="0"/>
                <w:szCs w:val="21"/>
              </w:rPr>
              <w:t>身份证复印件正面</w:t>
            </w:r>
          </w:p>
        </w:tc>
        <w:tc>
          <w:tcPr>
            <w:tcW w:w="5263" w:type="dxa"/>
          </w:tcPr>
          <w:p>
            <w:pPr>
              <w:adjustRightInd w:val="0"/>
              <w:snapToGrid w:val="0"/>
              <w:spacing w:line="360" w:lineRule="auto"/>
              <w:ind w:firstLine="482"/>
              <w:rPr>
                <w:rFonts w:ascii="宋体" w:hAnsi="宋体" w:cs="宋体"/>
                <w:b/>
                <w:snapToGrid w:val="0"/>
                <w:kern w:val="0"/>
                <w:szCs w:val="21"/>
              </w:rPr>
            </w:pPr>
            <w:r>
              <w:rPr>
                <w:rFonts w:hint="eastAsia" w:ascii="宋体" w:hAnsi="宋体" w:cs="宋体"/>
                <w:b/>
                <w:snapToGrid w:val="0"/>
                <w:kern w:val="0"/>
                <w:szCs w:val="21"/>
              </w:rPr>
              <w:t>身份证复印件反面</w:t>
            </w:r>
          </w:p>
        </w:tc>
      </w:tr>
    </w:tbl>
    <w:p>
      <w:pPr>
        <w:adjustRightInd w:val="0"/>
        <w:snapToGrid w:val="0"/>
        <w:spacing w:line="360" w:lineRule="auto"/>
        <w:ind w:firstLine="0" w:firstLineChars="0"/>
        <w:rPr>
          <w:rFonts w:ascii="宋体" w:hAnsi="宋体" w:cs="宋体"/>
        </w:rPr>
      </w:pPr>
    </w:p>
    <w:p>
      <w:pPr>
        <w:pStyle w:val="47"/>
        <w:ind w:left="960" w:hanging="480"/>
      </w:pPr>
    </w:p>
    <w:p>
      <w:pPr>
        <w:pStyle w:val="47"/>
        <w:ind w:left="960" w:hanging="480"/>
      </w:pPr>
    </w:p>
    <w:p>
      <w:pPr>
        <w:pStyle w:val="47"/>
        <w:ind w:left="960" w:hanging="480"/>
      </w:pPr>
    </w:p>
    <w:p>
      <w:pPr>
        <w:pStyle w:val="47"/>
        <w:ind w:left="960" w:hanging="480"/>
      </w:pPr>
    </w:p>
    <w:p>
      <w:pPr>
        <w:pStyle w:val="19"/>
        <w:adjustRightInd w:val="0"/>
        <w:snapToGrid w:val="0"/>
        <w:spacing w:line="360" w:lineRule="auto"/>
        <w:ind w:firstLine="643"/>
        <w:jc w:val="center"/>
        <w:outlineLvl w:val="1"/>
        <w:rPr>
          <w:rFonts w:hAnsi="宋体"/>
          <w:b/>
          <w:bCs/>
          <w:sz w:val="32"/>
        </w:rPr>
      </w:pPr>
      <w:bookmarkStart w:id="408" w:name="_Toc3010"/>
      <w:r>
        <w:rPr>
          <w:rFonts w:hint="eastAsia" w:hAnsi="宋体"/>
          <w:b/>
          <w:bCs/>
          <w:sz w:val="32"/>
        </w:rPr>
        <w:t>（1-2）法定代表人授权委托书</w:t>
      </w:r>
      <w:bookmarkEnd w:id="408"/>
    </w:p>
    <w:p>
      <w:pPr>
        <w:pStyle w:val="19"/>
        <w:adjustRightInd w:val="0"/>
        <w:spacing w:line="480" w:lineRule="auto"/>
        <w:ind w:firstLine="420"/>
        <w:rPr>
          <w:rFonts w:hAnsi="宋体"/>
          <w:u w:val="single"/>
        </w:rPr>
      </w:pPr>
      <w:r>
        <w:rPr>
          <w:rFonts w:hint="eastAsia" w:ascii="Arial" w:hAnsi="Arial" w:cs="Arial"/>
          <w:u w:val="single"/>
          <w:lang w:eastAsia="zh-CN"/>
        </w:rPr>
        <w:t>龙游华水农村供水发展有限公司</w:t>
      </w:r>
      <w:r>
        <w:rPr>
          <w:rFonts w:hint="eastAsia" w:hAnsi="宋体"/>
          <w:u w:val="single"/>
        </w:rPr>
        <w:t>：</w:t>
      </w:r>
    </w:p>
    <w:p>
      <w:pPr>
        <w:pStyle w:val="19"/>
        <w:adjustRightInd w:val="0"/>
        <w:spacing w:line="480" w:lineRule="auto"/>
        <w:ind w:firstLine="420"/>
        <w:rPr>
          <w:rFonts w:hAnsi="宋体"/>
          <w:u w:val="single"/>
        </w:rPr>
      </w:pPr>
      <w:r>
        <w:rPr>
          <w:rFonts w:hint="eastAsia" w:hAnsi="宋体"/>
          <w:u w:val="single"/>
        </w:rPr>
        <w:t>泰宇建筑工程技术咨询有限公司：</w:t>
      </w:r>
    </w:p>
    <w:p>
      <w:pPr>
        <w:pStyle w:val="19"/>
        <w:spacing w:line="480" w:lineRule="auto"/>
        <w:ind w:firstLine="420"/>
        <w:rPr>
          <w:rFonts w:hAnsi="宋体"/>
        </w:rPr>
      </w:pPr>
      <w:r>
        <w:rPr>
          <w:rFonts w:hint="eastAsia" w:hAnsi="宋体"/>
        </w:rPr>
        <w:t>我以</w:t>
      </w:r>
      <w:r>
        <w:rPr>
          <w:rFonts w:hint="eastAsia" w:hAnsi="宋体"/>
          <w:u w:val="single"/>
        </w:rPr>
        <w:t>（投标人全称）</w:t>
      </w:r>
      <w:r>
        <w:rPr>
          <w:rFonts w:hint="eastAsia" w:hAnsi="宋体"/>
        </w:rPr>
        <w:t>法定代表人的身份授权</w:t>
      </w:r>
      <w:r>
        <w:rPr>
          <w:rFonts w:hint="eastAsia" w:hAnsi="宋体"/>
          <w:u w:val="single"/>
        </w:rPr>
        <w:t>（全权代表姓名）</w:t>
      </w:r>
      <w:r>
        <w:rPr>
          <w:rFonts w:hint="eastAsia" w:hAnsi="宋体"/>
        </w:rPr>
        <w:t>、</w:t>
      </w:r>
      <w:r>
        <w:rPr>
          <w:rFonts w:hint="eastAsia" w:hAnsi="宋体"/>
          <w:u w:val="single"/>
        </w:rPr>
        <w:t>（身份证号）</w:t>
      </w:r>
      <w:r>
        <w:rPr>
          <w:rFonts w:hint="eastAsia" w:hAnsi="宋体"/>
        </w:rPr>
        <w:t>，为我单位的全权代表，参加贵处组织的</w:t>
      </w:r>
      <w:r>
        <w:rPr>
          <w:rFonts w:hint="eastAsia" w:hAnsi="宋体"/>
          <w:u w:val="single"/>
        </w:rPr>
        <w:t>（项目名称）</w:t>
      </w:r>
      <w:r>
        <w:rPr>
          <w:rFonts w:hint="eastAsia" w:hAnsi="宋体"/>
        </w:rPr>
        <w:t>（</w:t>
      </w:r>
      <w:r>
        <w:rPr>
          <w:rFonts w:hint="eastAsia" w:hAnsi="宋体"/>
          <w:u w:val="single"/>
        </w:rPr>
        <w:t>项目编号</w:t>
      </w:r>
      <w:r>
        <w:rPr>
          <w:rFonts w:hint="eastAsia" w:hAnsi="宋体"/>
        </w:rPr>
        <w:t>）的采购，签署本项目相关投标文件并全权处理投标活动中的一切事宜。我单位承认全权代表做出的与本项目招投标活动有关的全部行为。</w:t>
      </w:r>
    </w:p>
    <w:p>
      <w:pPr>
        <w:pStyle w:val="19"/>
        <w:spacing w:line="480" w:lineRule="auto"/>
        <w:ind w:firstLine="420"/>
        <w:rPr>
          <w:rFonts w:hAnsi="宋体"/>
        </w:rPr>
      </w:pPr>
      <w:r>
        <w:rPr>
          <w:rFonts w:hint="eastAsia" w:hAnsi="宋体"/>
        </w:rPr>
        <w:t>委托期限：</w:t>
      </w:r>
    </w:p>
    <w:p>
      <w:pPr>
        <w:ind w:firstLine="480"/>
      </w:pPr>
    </w:p>
    <w:p>
      <w:pPr>
        <w:pStyle w:val="19"/>
        <w:spacing w:line="360" w:lineRule="auto"/>
        <w:ind w:firstLine="420"/>
        <w:rPr>
          <w:rFonts w:hAnsi="宋体"/>
          <w:bCs/>
        </w:rPr>
      </w:pPr>
      <w:r>
        <w:rPr>
          <w:rFonts w:hint="eastAsia" w:hAnsi="宋体"/>
          <w:bCs/>
        </w:rPr>
        <w:t>投标人全称（盖单位公章）：</w:t>
      </w:r>
    </w:p>
    <w:p>
      <w:pPr>
        <w:pStyle w:val="19"/>
        <w:spacing w:line="360" w:lineRule="auto"/>
        <w:ind w:firstLine="420"/>
        <w:rPr>
          <w:rFonts w:hAnsi="宋体"/>
          <w:bCs/>
        </w:rPr>
      </w:pPr>
      <w:r>
        <w:rPr>
          <w:rFonts w:hint="eastAsia" w:hAnsi="宋体"/>
          <w:bCs/>
        </w:rPr>
        <w:t>法定代表人（签字或盖章）：</w:t>
      </w:r>
    </w:p>
    <w:p>
      <w:pPr>
        <w:pStyle w:val="19"/>
        <w:spacing w:line="360" w:lineRule="auto"/>
        <w:ind w:firstLine="420"/>
        <w:rPr>
          <w:rFonts w:hAnsi="宋体"/>
          <w:bCs/>
        </w:rPr>
      </w:pPr>
      <w:r>
        <w:rPr>
          <w:rFonts w:hint="eastAsia" w:hAnsi="宋体"/>
          <w:bCs/>
        </w:rPr>
        <w:t>电话：</w:t>
      </w:r>
    </w:p>
    <w:p>
      <w:pPr>
        <w:pStyle w:val="19"/>
        <w:spacing w:line="360" w:lineRule="auto"/>
        <w:ind w:firstLine="420"/>
        <w:rPr>
          <w:rFonts w:hAnsi="宋体"/>
          <w:bCs/>
        </w:rPr>
      </w:pPr>
      <w:r>
        <w:rPr>
          <w:rFonts w:hint="eastAsia" w:hAnsi="宋体"/>
          <w:bCs/>
        </w:rPr>
        <w:t>日期：</w:t>
      </w:r>
    </w:p>
    <w:p>
      <w:pPr>
        <w:pStyle w:val="19"/>
        <w:spacing w:line="360" w:lineRule="auto"/>
        <w:ind w:firstLine="420"/>
        <w:rPr>
          <w:rFonts w:hAnsi="宋体"/>
          <w:bCs/>
        </w:rPr>
      </w:pPr>
      <w:r>
        <w:rPr>
          <w:rFonts w:hint="eastAsia" w:hAnsi="宋体"/>
          <w:bCs/>
        </w:rPr>
        <w:t>附：</w:t>
      </w:r>
    </w:p>
    <w:p>
      <w:pPr>
        <w:pStyle w:val="19"/>
        <w:spacing w:line="360" w:lineRule="auto"/>
        <w:ind w:firstLine="420"/>
        <w:rPr>
          <w:rFonts w:hAnsi="宋体"/>
          <w:bCs/>
          <w:szCs w:val="24"/>
        </w:rPr>
      </w:pPr>
      <w:r>
        <w:rPr>
          <w:rFonts w:hint="eastAsia" w:hAnsi="宋体"/>
          <w:bCs/>
          <w:szCs w:val="24"/>
        </w:rPr>
        <w:t>授权委托人姓名：身份证号码：职务：电话：</w:t>
      </w:r>
    </w:p>
    <w:p>
      <w:pPr>
        <w:spacing w:line="360" w:lineRule="auto"/>
        <w:ind w:firstLine="482"/>
        <w:rPr>
          <w:rFonts w:ascii="宋体" w:hAnsi="宋体" w:cs="宋体"/>
          <w:b/>
        </w:rPr>
      </w:pPr>
      <w:r>
        <w:rPr>
          <w:rFonts w:hint="eastAsia" w:ascii="宋体" w:hAnsi="宋体" w:cs="宋体"/>
          <w:b/>
        </w:rPr>
        <w:t>授权委托人身份证复印件：</w:t>
      </w:r>
    </w:p>
    <w:p>
      <w:pPr>
        <w:spacing w:line="360" w:lineRule="auto"/>
        <w:ind w:firstLine="482"/>
        <w:rPr>
          <w:rFonts w:ascii="宋体" w:hAnsi="宋体" w:cs="宋体"/>
          <w:b/>
        </w:rPr>
      </w:pPr>
      <w:r>
        <w:rPr>
          <w:rFonts w:hint="eastAsia" w:ascii="宋体" w:hAnsi="宋体" w:cs="宋体"/>
          <w:b/>
        </w:rPr>
        <w:t>注：法定代表人授权其公司员工签署及参加投标的，在投标文件中同时出具法定代表人资格证明书及此授权书，并附身份证复印件。</w:t>
      </w:r>
    </w:p>
    <w:p>
      <w:pPr>
        <w:spacing w:line="360" w:lineRule="auto"/>
        <w:ind w:firstLine="482"/>
        <w:rPr>
          <w:rFonts w:ascii="宋体" w:hAnsi="宋体" w:cs="宋体"/>
          <w:b/>
        </w:rPr>
      </w:pPr>
      <w:r>
        <w:rPr>
          <w:rFonts w:hint="eastAsia" w:ascii="宋体" w:hAnsi="宋体" w:cs="宋体"/>
          <w:b/>
        </w:rPr>
        <w:t>如参加开标并在开评标过程中签署文件的人员与投标文件签署人不一致，须另行提供授权书。</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7"/>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5263" w:type="dxa"/>
          </w:tcPr>
          <w:p>
            <w:pPr>
              <w:adjustRightInd w:val="0"/>
              <w:snapToGrid w:val="0"/>
              <w:spacing w:line="360" w:lineRule="auto"/>
              <w:ind w:firstLine="482"/>
              <w:rPr>
                <w:rFonts w:ascii="宋体" w:hAnsi="宋体" w:eastAsia="宋体" w:cs="宋体"/>
                <w:b/>
                <w:snapToGrid w:val="0"/>
                <w:kern w:val="0"/>
                <w:szCs w:val="21"/>
              </w:rPr>
            </w:pPr>
            <w:r>
              <w:rPr>
                <w:rFonts w:hint="eastAsia" w:ascii="宋体" w:hAnsi="宋体" w:cs="宋体"/>
                <w:b/>
                <w:snapToGrid w:val="0"/>
                <w:kern w:val="0"/>
                <w:szCs w:val="21"/>
              </w:rPr>
              <w:t>身份证复印件正面</w:t>
            </w:r>
          </w:p>
        </w:tc>
        <w:tc>
          <w:tcPr>
            <w:tcW w:w="5263" w:type="dxa"/>
          </w:tcPr>
          <w:p>
            <w:pPr>
              <w:adjustRightInd w:val="0"/>
              <w:snapToGrid w:val="0"/>
              <w:spacing w:line="360" w:lineRule="auto"/>
              <w:ind w:firstLine="482"/>
              <w:rPr>
                <w:rFonts w:ascii="宋体" w:hAnsi="宋体" w:cs="宋体"/>
                <w:b/>
                <w:snapToGrid w:val="0"/>
                <w:kern w:val="0"/>
                <w:szCs w:val="21"/>
              </w:rPr>
            </w:pPr>
            <w:r>
              <w:rPr>
                <w:rFonts w:hint="eastAsia" w:ascii="宋体" w:hAnsi="宋体" w:cs="宋体"/>
                <w:b/>
                <w:snapToGrid w:val="0"/>
                <w:kern w:val="0"/>
                <w:szCs w:val="21"/>
              </w:rPr>
              <w:t>身份证复印件反面</w:t>
            </w:r>
          </w:p>
        </w:tc>
      </w:tr>
    </w:tbl>
    <w:p>
      <w:pPr>
        <w:ind w:firstLine="482"/>
        <w:rPr>
          <w:rFonts w:asciiTheme="majorEastAsia" w:hAnsiTheme="majorEastAsia" w:eastAsiaTheme="majorEastAsia" w:cstheme="majorEastAsia"/>
          <w:b/>
        </w:rPr>
      </w:pPr>
      <w:r>
        <w:rPr>
          <w:rFonts w:hint="eastAsia" w:ascii="宋体" w:hAnsi="宋体" w:cs="宋体"/>
          <w:b/>
        </w:rPr>
        <w:br w:type="page"/>
      </w:r>
      <w:bookmarkStart w:id="409" w:name="_Toc32544"/>
      <w:r>
        <w:rPr>
          <w:rFonts w:hint="eastAsia" w:asciiTheme="majorEastAsia" w:hAnsiTheme="majorEastAsia" w:eastAsiaTheme="majorEastAsia" w:cstheme="majorEastAsia"/>
          <w:b/>
        </w:rPr>
        <w:t>二、</w:t>
      </w:r>
      <w:r>
        <w:rPr>
          <w:rFonts w:hint="eastAsia" w:asciiTheme="majorEastAsia" w:hAnsiTheme="majorEastAsia" w:eastAsiaTheme="majorEastAsia" w:cstheme="majorEastAsia"/>
        </w:rPr>
        <w:t>廉政承诺书</w:t>
      </w:r>
      <w:bookmarkEnd w:id="409"/>
    </w:p>
    <w:p>
      <w:pPr>
        <w:ind w:firstLine="482"/>
        <w:rPr>
          <w:rFonts w:asciiTheme="majorEastAsia" w:hAnsiTheme="majorEastAsia" w:eastAsiaTheme="majorEastAsia" w:cstheme="majorEastAsia"/>
          <w:b/>
        </w:rPr>
      </w:pPr>
    </w:p>
    <w:p>
      <w:pPr>
        <w:pStyle w:val="19"/>
        <w:adjustRightInd w:val="0"/>
        <w:snapToGrid w:val="0"/>
        <w:spacing w:line="360" w:lineRule="auto"/>
        <w:ind w:firstLine="562"/>
        <w:jc w:val="center"/>
        <w:rPr>
          <w:rFonts w:asciiTheme="majorEastAsia" w:hAnsiTheme="majorEastAsia" w:eastAsiaTheme="majorEastAsia" w:cstheme="majorEastAsia"/>
          <w:b/>
          <w:bCs/>
          <w:sz w:val="32"/>
        </w:rPr>
      </w:pPr>
      <w:r>
        <w:rPr>
          <w:rFonts w:hint="eastAsia" w:asciiTheme="majorEastAsia" w:hAnsiTheme="majorEastAsia" w:eastAsiaTheme="majorEastAsia" w:cstheme="majorEastAsia"/>
          <w:b/>
          <w:bCs/>
          <w:sz w:val="28"/>
          <w:szCs w:val="28"/>
        </w:rPr>
        <w:t>廉政承诺书</w:t>
      </w:r>
    </w:p>
    <w:p>
      <w:pPr>
        <w:snapToGrid w:val="0"/>
        <w:spacing w:line="480" w:lineRule="auto"/>
        <w:ind w:firstLine="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u w:val="single"/>
          <w:lang w:eastAsia="zh-CN"/>
        </w:rPr>
        <w:t>龙游华水农村供水发展有限公司</w:t>
      </w:r>
      <w:r>
        <w:rPr>
          <w:rFonts w:hint="eastAsia" w:asciiTheme="majorEastAsia" w:hAnsiTheme="majorEastAsia" w:eastAsiaTheme="majorEastAsia" w:cstheme="majorEastAsia"/>
          <w:sz w:val="21"/>
          <w:szCs w:val="21"/>
        </w:rPr>
        <w:t>：</w:t>
      </w:r>
    </w:p>
    <w:p>
      <w:pPr>
        <w:snapToGrid w:val="0"/>
        <w:spacing w:line="480" w:lineRule="auto"/>
        <w:ind w:firstLine="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我单位响应</w:t>
      </w:r>
      <w:r>
        <w:rPr>
          <w:rFonts w:hint="eastAsia" w:asciiTheme="majorEastAsia" w:hAnsiTheme="majorEastAsia" w:eastAsiaTheme="majorEastAsia" w:cstheme="majorEastAsia"/>
          <w:sz w:val="21"/>
          <w:szCs w:val="21"/>
          <w:u w:val="single"/>
          <w:lang w:eastAsia="zh-CN"/>
        </w:rPr>
        <w:t>龙游华水农村供水发展有限公司</w:t>
      </w:r>
      <w:r>
        <w:rPr>
          <w:rFonts w:hint="eastAsia" w:asciiTheme="majorEastAsia" w:hAnsiTheme="majorEastAsia" w:eastAsiaTheme="majorEastAsia" w:cstheme="majorEastAsia"/>
          <w:sz w:val="21"/>
          <w:szCs w:val="21"/>
        </w:rPr>
        <w:t>（采购人）</w:t>
      </w:r>
      <w:r>
        <w:rPr>
          <w:rFonts w:hint="eastAsia" w:asciiTheme="majorEastAsia" w:hAnsiTheme="majorEastAsia" w:eastAsiaTheme="majorEastAsia" w:cstheme="majorEastAsia"/>
          <w:sz w:val="21"/>
          <w:szCs w:val="21"/>
          <w:u w:val="single"/>
          <w:lang w:eastAsia="zh-CN"/>
        </w:rPr>
        <w:t>2025年农村供水哈夫节采购项目</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（项目名称）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u w:val="single"/>
          <w:lang w:eastAsia="zh-CN"/>
        </w:rPr>
        <w:t xml:space="preserve">LYCG2025TY-018 </w:t>
      </w:r>
      <w:r>
        <w:rPr>
          <w:rFonts w:hint="eastAsia" w:asciiTheme="majorEastAsia" w:hAnsiTheme="majorEastAsia" w:eastAsiaTheme="majorEastAsia" w:cstheme="majorEastAsia"/>
          <w:sz w:val="21"/>
          <w:szCs w:val="21"/>
        </w:rPr>
        <w:t>（项目编号）招标要求参加投标。在这次投标过程中和中标后，我们将严格遵守国家法律法规要求，并郑重承诺：</w:t>
      </w:r>
    </w:p>
    <w:p>
      <w:pPr>
        <w:snapToGrid w:val="0"/>
        <w:spacing w:line="480" w:lineRule="auto"/>
        <w:ind w:firstLine="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一、不向项目有关人员及部门赠送礼金礼物、有价证券、回扣以及中介费、介绍费、咨询费等好处费；</w:t>
      </w:r>
    </w:p>
    <w:p>
      <w:pPr>
        <w:snapToGrid w:val="0"/>
        <w:spacing w:line="480" w:lineRule="auto"/>
        <w:ind w:firstLine="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二、不为项目有关人员及部门报销应由你方单位或个人支付的费用；</w:t>
      </w:r>
    </w:p>
    <w:p>
      <w:pPr>
        <w:snapToGrid w:val="0"/>
        <w:spacing w:line="480" w:lineRule="auto"/>
        <w:ind w:firstLine="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三、不向项目有关人员及部门提供有可能影响公正的宴请和健身娱乐等活动；</w:t>
      </w:r>
    </w:p>
    <w:p>
      <w:pPr>
        <w:snapToGrid w:val="0"/>
        <w:spacing w:line="480" w:lineRule="auto"/>
        <w:ind w:firstLine="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四、不为项目有关人员及部门出国（境）、旅游等提供方便；</w:t>
      </w:r>
    </w:p>
    <w:p>
      <w:pPr>
        <w:snapToGrid w:val="0"/>
        <w:spacing w:line="480" w:lineRule="auto"/>
        <w:ind w:firstLine="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五、不为项目有关人员个人装修住房、婚丧嫁娶、配偶子女工作安排等提供好处；</w:t>
      </w:r>
    </w:p>
    <w:p>
      <w:pPr>
        <w:snapToGrid w:val="0"/>
        <w:spacing w:line="480" w:lineRule="auto"/>
        <w:ind w:firstLine="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如违反上述承诺，你单位有权立即取消我单位投标、中标资格，有权拒绝我单位在一定时期内进入你单位进行项目建设或其他经营活动，并通报政府采购监管部门。由此引起的相应损失均由我单位承担。</w:t>
      </w:r>
    </w:p>
    <w:p>
      <w:pPr>
        <w:adjustRightInd w:val="0"/>
        <w:spacing w:line="360" w:lineRule="auto"/>
        <w:ind w:firstLine="420"/>
        <w:rPr>
          <w:rFonts w:asciiTheme="majorEastAsia" w:hAnsiTheme="majorEastAsia" w:eastAsiaTheme="majorEastAsia" w:cstheme="majorEastAsia"/>
          <w:sz w:val="21"/>
          <w:szCs w:val="21"/>
        </w:rPr>
      </w:pPr>
    </w:p>
    <w:p>
      <w:pPr>
        <w:adjustRightInd w:val="0"/>
        <w:spacing w:line="360" w:lineRule="auto"/>
        <w:ind w:firstLine="480"/>
        <w:rPr>
          <w:rFonts w:ascii="宋体" w:hAnsi="宋体" w:cs="宋体"/>
          <w:szCs w:val="21"/>
        </w:rPr>
      </w:pPr>
    </w:p>
    <w:p>
      <w:pPr>
        <w:adjustRightInd w:val="0"/>
        <w:spacing w:line="360" w:lineRule="auto"/>
        <w:ind w:firstLine="480"/>
        <w:rPr>
          <w:rFonts w:ascii="宋体" w:hAnsi="宋体" w:cs="宋体"/>
          <w:szCs w:val="21"/>
        </w:rPr>
      </w:pPr>
    </w:p>
    <w:p>
      <w:pPr>
        <w:pStyle w:val="19"/>
        <w:adjustRightInd w:val="0"/>
        <w:snapToGrid w:val="0"/>
        <w:spacing w:line="360" w:lineRule="auto"/>
        <w:ind w:firstLine="420"/>
        <w:rPr>
          <w:rFonts w:hAnsi="宋体"/>
          <w:bCs/>
        </w:rPr>
      </w:pPr>
      <w:r>
        <w:rPr>
          <w:rFonts w:hint="eastAsia" w:hAnsi="宋体"/>
          <w:bCs/>
        </w:rPr>
        <w:t>投标人全称（盖单位公章）：</w:t>
      </w:r>
    </w:p>
    <w:p>
      <w:pPr>
        <w:pStyle w:val="19"/>
        <w:adjustRightInd w:val="0"/>
        <w:snapToGrid w:val="0"/>
        <w:spacing w:line="360" w:lineRule="auto"/>
        <w:ind w:firstLine="420"/>
        <w:rPr>
          <w:rFonts w:hAnsi="宋体"/>
          <w:bCs/>
        </w:rPr>
      </w:pPr>
      <w:r>
        <w:rPr>
          <w:rFonts w:hint="eastAsia" w:hAnsi="宋体"/>
          <w:bCs/>
        </w:rPr>
        <w:t>法定代表人或其授权委托人（签字或盖章）：</w:t>
      </w:r>
    </w:p>
    <w:p>
      <w:pPr>
        <w:pStyle w:val="19"/>
        <w:adjustRightInd w:val="0"/>
        <w:snapToGrid w:val="0"/>
        <w:spacing w:line="360" w:lineRule="auto"/>
        <w:ind w:firstLine="420"/>
        <w:rPr>
          <w:rFonts w:hAnsi="宋体"/>
          <w:bCs/>
        </w:rPr>
      </w:pPr>
      <w:r>
        <w:rPr>
          <w:rFonts w:hint="eastAsia" w:hAnsi="宋体"/>
          <w:bCs/>
        </w:rPr>
        <w:t>日期：</w:t>
      </w:r>
    </w:p>
    <w:p>
      <w:pPr>
        <w:spacing w:line="360" w:lineRule="auto"/>
        <w:ind w:firstLine="482"/>
        <w:rPr>
          <w:rFonts w:ascii="宋体" w:hAnsi="宋体" w:cs="宋体"/>
          <w:b/>
        </w:rPr>
      </w:pPr>
    </w:p>
    <w:p>
      <w:pPr>
        <w:adjustRightInd w:val="0"/>
        <w:snapToGrid w:val="0"/>
        <w:spacing w:line="360" w:lineRule="auto"/>
        <w:ind w:firstLine="560"/>
        <w:outlineLvl w:val="0"/>
        <w:rPr>
          <w:rFonts w:ascii="宋体" w:hAnsi="宋体" w:cs="宋体"/>
          <w:b/>
        </w:rPr>
      </w:pPr>
      <w:r>
        <w:rPr>
          <w:rFonts w:hint="eastAsia" w:hAnsi="宋体" w:cs="宋体"/>
          <w:spacing w:val="20"/>
        </w:rPr>
        <w:br w:type="page"/>
      </w:r>
      <w:bookmarkStart w:id="410" w:name="_Toc4650"/>
      <w:bookmarkStart w:id="411" w:name="_Toc1595"/>
      <w:r>
        <w:rPr>
          <w:rFonts w:hint="eastAsia" w:ascii="宋体" w:hAnsi="宋体" w:cs="宋体"/>
          <w:b/>
        </w:rPr>
        <w:t>三、投标人简介</w:t>
      </w:r>
      <w:bookmarkEnd w:id="410"/>
      <w:bookmarkEnd w:id="411"/>
    </w:p>
    <w:p>
      <w:pPr>
        <w:widowControl/>
        <w:spacing w:line="420" w:lineRule="atLeast"/>
        <w:ind w:firstLine="602"/>
        <w:jc w:val="center"/>
        <w:rPr>
          <w:rFonts w:ascii="宋体" w:hAnsi="宋体"/>
          <w:b/>
          <w:bCs/>
          <w:color w:val="000000"/>
          <w:kern w:val="0"/>
          <w:sz w:val="30"/>
          <w:szCs w:val="30"/>
        </w:rPr>
      </w:pPr>
      <w:r>
        <w:rPr>
          <w:rFonts w:hint="eastAsia" w:ascii="宋体" w:hAnsi="宋体"/>
          <w:b/>
          <w:bCs/>
          <w:color w:val="000000"/>
          <w:kern w:val="0"/>
          <w:sz w:val="30"/>
          <w:szCs w:val="30"/>
        </w:rPr>
        <w:t>投标人基本情况表</w:t>
      </w:r>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26"/>
        <w:gridCol w:w="1762"/>
        <w:gridCol w:w="1380"/>
        <w:gridCol w:w="1290"/>
        <w:gridCol w:w="1125"/>
        <w:gridCol w:w="795"/>
        <w:gridCol w:w="11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62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0" w:firstLineChars="0"/>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投标人名称</w:t>
            </w:r>
          </w:p>
        </w:tc>
        <w:tc>
          <w:tcPr>
            <w:tcW w:w="7473" w:type="dxa"/>
            <w:gridSpan w:val="6"/>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420"/>
              <w:rPr>
                <w:rFonts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2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0" w:firstLineChars="0"/>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注册地址</w:t>
            </w:r>
          </w:p>
        </w:tc>
        <w:tc>
          <w:tcPr>
            <w:tcW w:w="3142" w:type="dxa"/>
            <w:gridSpan w:val="2"/>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420"/>
              <w:rPr>
                <w:rFonts w:asciiTheme="majorEastAsia" w:hAnsiTheme="majorEastAsia" w:eastAsiaTheme="majorEastAsia" w:cstheme="majorEastAsia"/>
                <w:sz w:val="21"/>
                <w:szCs w:val="21"/>
              </w:rPr>
            </w:pPr>
          </w:p>
        </w:tc>
        <w:tc>
          <w:tcPr>
            <w:tcW w:w="1290"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0" w:firstLineChars="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邮政编码</w:t>
            </w:r>
          </w:p>
        </w:tc>
        <w:tc>
          <w:tcPr>
            <w:tcW w:w="3041" w:type="dxa"/>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420"/>
              <w:rPr>
                <w:rFonts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6" w:hRule="atLeast"/>
          <w:jc w:val="center"/>
        </w:trPr>
        <w:tc>
          <w:tcPr>
            <w:tcW w:w="1626" w:type="dxa"/>
            <w:vMerge w:val="restart"/>
            <w:tcBorders>
              <w:top w:val="single" w:color="auto" w:sz="4" w:space="0"/>
              <w:left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0" w:firstLineChars="0"/>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联系方式</w:t>
            </w:r>
          </w:p>
        </w:tc>
        <w:tc>
          <w:tcPr>
            <w:tcW w:w="176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0" w:firstLineChars="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联系人</w:t>
            </w:r>
          </w:p>
        </w:tc>
        <w:tc>
          <w:tcPr>
            <w:tcW w:w="1380"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0" w:firstLineChars="0"/>
              <w:rPr>
                <w:rFonts w:asciiTheme="majorEastAsia" w:hAnsiTheme="majorEastAsia" w:eastAsiaTheme="majorEastAsia" w:cstheme="majorEastAsia"/>
                <w:sz w:val="21"/>
                <w:szCs w:val="21"/>
              </w:rPr>
            </w:pPr>
          </w:p>
        </w:tc>
        <w:tc>
          <w:tcPr>
            <w:tcW w:w="1290"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0" w:firstLineChars="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电    话</w:t>
            </w:r>
          </w:p>
        </w:tc>
        <w:tc>
          <w:tcPr>
            <w:tcW w:w="3041" w:type="dxa"/>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0" w:firstLineChars="0"/>
              <w:rPr>
                <w:rFonts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626" w:type="dxa"/>
            <w:vMerge w:val="continue"/>
            <w:tcBorders>
              <w:left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0" w:firstLineChars="0"/>
              <w:jc w:val="left"/>
              <w:rPr>
                <w:rFonts w:asciiTheme="majorEastAsia" w:hAnsiTheme="majorEastAsia" w:eastAsiaTheme="majorEastAsia" w:cstheme="majorEastAsia"/>
                <w:sz w:val="21"/>
                <w:szCs w:val="21"/>
              </w:rPr>
            </w:pPr>
          </w:p>
        </w:tc>
        <w:tc>
          <w:tcPr>
            <w:tcW w:w="176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0" w:firstLineChars="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传 真</w:t>
            </w:r>
          </w:p>
        </w:tc>
        <w:tc>
          <w:tcPr>
            <w:tcW w:w="1380"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0" w:firstLineChars="0"/>
              <w:rPr>
                <w:rFonts w:asciiTheme="majorEastAsia" w:hAnsiTheme="majorEastAsia" w:eastAsiaTheme="majorEastAsia" w:cstheme="majorEastAsia"/>
                <w:sz w:val="21"/>
                <w:szCs w:val="21"/>
              </w:rPr>
            </w:pPr>
          </w:p>
        </w:tc>
        <w:tc>
          <w:tcPr>
            <w:tcW w:w="1290"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0" w:firstLineChars="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移动电话</w:t>
            </w:r>
          </w:p>
        </w:tc>
        <w:tc>
          <w:tcPr>
            <w:tcW w:w="3041" w:type="dxa"/>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0" w:firstLineChars="0"/>
              <w:rPr>
                <w:rFonts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jc w:val="center"/>
        </w:trPr>
        <w:tc>
          <w:tcPr>
            <w:tcW w:w="1626" w:type="dxa"/>
            <w:vMerge w:val="continue"/>
            <w:tcBorders>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0" w:firstLineChars="0"/>
              <w:jc w:val="left"/>
              <w:rPr>
                <w:rFonts w:asciiTheme="majorEastAsia" w:hAnsiTheme="majorEastAsia" w:eastAsiaTheme="majorEastAsia" w:cstheme="majorEastAsia"/>
                <w:sz w:val="21"/>
                <w:szCs w:val="21"/>
              </w:rPr>
            </w:pPr>
          </w:p>
        </w:tc>
        <w:tc>
          <w:tcPr>
            <w:tcW w:w="176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0" w:firstLineChars="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电子邮箱</w:t>
            </w:r>
          </w:p>
        </w:tc>
        <w:tc>
          <w:tcPr>
            <w:tcW w:w="1380"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0" w:firstLineChars="0"/>
              <w:rPr>
                <w:rFonts w:asciiTheme="majorEastAsia" w:hAnsiTheme="majorEastAsia" w:eastAsiaTheme="majorEastAsia" w:cstheme="majorEastAsia"/>
                <w:sz w:val="21"/>
                <w:szCs w:val="21"/>
              </w:rPr>
            </w:pPr>
          </w:p>
        </w:tc>
        <w:tc>
          <w:tcPr>
            <w:tcW w:w="1290"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0" w:firstLineChars="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网    址</w:t>
            </w:r>
          </w:p>
        </w:tc>
        <w:tc>
          <w:tcPr>
            <w:tcW w:w="3041" w:type="dxa"/>
            <w:gridSpan w:val="3"/>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0" w:firstLineChars="0"/>
              <w:rPr>
                <w:rFonts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2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0" w:firstLineChars="0"/>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组织结构</w:t>
            </w:r>
          </w:p>
        </w:tc>
        <w:tc>
          <w:tcPr>
            <w:tcW w:w="7473" w:type="dxa"/>
            <w:gridSpan w:val="6"/>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0" w:firstLineChars="0"/>
              <w:rPr>
                <w:rFonts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62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0" w:firstLineChars="0"/>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法定代表人</w:t>
            </w:r>
          </w:p>
        </w:tc>
        <w:tc>
          <w:tcPr>
            <w:tcW w:w="176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0" w:firstLineChars="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姓名</w:t>
            </w:r>
          </w:p>
        </w:tc>
        <w:tc>
          <w:tcPr>
            <w:tcW w:w="1380"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0" w:firstLineChars="0"/>
              <w:rPr>
                <w:rFonts w:asciiTheme="majorEastAsia" w:hAnsiTheme="majorEastAsia" w:eastAsiaTheme="majorEastAsia" w:cstheme="majorEastAsia"/>
                <w:sz w:val="21"/>
                <w:szCs w:val="21"/>
              </w:rPr>
            </w:pPr>
          </w:p>
        </w:tc>
        <w:tc>
          <w:tcPr>
            <w:tcW w:w="1290"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0" w:firstLineChars="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技术职称</w:t>
            </w:r>
          </w:p>
        </w:tc>
        <w:tc>
          <w:tcPr>
            <w:tcW w:w="1125"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0" w:firstLineChars="0"/>
              <w:rPr>
                <w:rFonts w:asciiTheme="majorEastAsia" w:hAnsiTheme="majorEastAsia" w:eastAsiaTheme="majorEastAsia" w:cstheme="majorEastAsia"/>
                <w:sz w:val="21"/>
                <w:szCs w:val="21"/>
              </w:rPr>
            </w:pPr>
          </w:p>
        </w:tc>
        <w:tc>
          <w:tcPr>
            <w:tcW w:w="795"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0" w:firstLineChars="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电话</w:t>
            </w:r>
          </w:p>
        </w:tc>
        <w:tc>
          <w:tcPr>
            <w:tcW w:w="1121"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420"/>
              <w:rPr>
                <w:rFonts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2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0" w:firstLineChars="0"/>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技术负责人</w:t>
            </w:r>
          </w:p>
        </w:tc>
        <w:tc>
          <w:tcPr>
            <w:tcW w:w="176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0" w:firstLineChars="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姓名</w:t>
            </w:r>
          </w:p>
        </w:tc>
        <w:tc>
          <w:tcPr>
            <w:tcW w:w="1380"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0" w:firstLineChars="0"/>
              <w:rPr>
                <w:rFonts w:asciiTheme="majorEastAsia" w:hAnsiTheme="majorEastAsia" w:eastAsiaTheme="majorEastAsia" w:cstheme="majorEastAsia"/>
                <w:sz w:val="21"/>
                <w:szCs w:val="21"/>
              </w:rPr>
            </w:pPr>
          </w:p>
        </w:tc>
        <w:tc>
          <w:tcPr>
            <w:tcW w:w="1290"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0" w:firstLineChars="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技术职称</w:t>
            </w:r>
          </w:p>
        </w:tc>
        <w:tc>
          <w:tcPr>
            <w:tcW w:w="1125"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0" w:firstLineChars="0"/>
              <w:rPr>
                <w:rFonts w:asciiTheme="majorEastAsia" w:hAnsiTheme="majorEastAsia" w:eastAsiaTheme="majorEastAsia" w:cstheme="majorEastAsia"/>
                <w:sz w:val="21"/>
                <w:szCs w:val="21"/>
              </w:rPr>
            </w:pPr>
          </w:p>
        </w:tc>
        <w:tc>
          <w:tcPr>
            <w:tcW w:w="795"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0" w:firstLineChars="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电话</w:t>
            </w:r>
          </w:p>
        </w:tc>
        <w:tc>
          <w:tcPr>
            <w:tcW w:w="1121"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420"/>
              <w:rPr>
                <w:rFonts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2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0" w:firstLineChars="0"/>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成立时间</w:t>
            </w:r>
          </w:p>
        </w:tc>
        <w:tc>
          <w:tcPr>
            <w:tcW w:w="176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420"/>
              <w:rPr>
                <w:rFonts w:asciiTheme="majorEastAsia" w:hAnsiTheme="majorEastAsia" w:eastAsiaTheme="majorEastAsia" w:cstheme="majorEastAsia"/>
                <w:sz w:val="21"/>
                <w:szCs w:val="21"/>
              </w:rPr>
            </w:pPr>
          </w:p>
        </w:tc>
        <w:tc>
          <w:tcPr>
            <w:tcW w:w="5711" w:type="dxa"/>
            <w:gridSpan w:val="5"/>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jc w:val="center"/>
        </w:trPr>
        <w:tc>
          <w:tcPr>
            <w:tcW w:w="1626" w:type="dxa"/>
            <w:tcBorders>
              <w:top w:val="single" w:color="auto" w:sz="4" w:space="0"/>
              <w:left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0" w:firstLineChars="0"/>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统一社会</w:t>
            </w:r>
          </w:p>
          <w:p>
            <w:pPr>
              <w:snapToGrid w:val="0"/>
              <w:spacing w:line="240" w:lineRule="auto"/>
              <w:ind w:firstLine="0" w:firstLineChars="0"/>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信用代码</w:t>
            </w:r>
          </w:p>
        </w:tc>
        <w:tc>
          <w:tcPr>
            <w:tcW w:w="7473" w:type="dxa"/>
            <w:gridSpan w:val="6"/>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420"/>
              <w:rPr>
                <w:rFonts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0" w:hRule="atLeast"/>
          <w:jc w:val="center"/>
        </w:trPr>
        <w:tc>
          <w:tcPr>
            <w:tcW w:w="162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0" w:firstLineChars="0"/>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注册资本</w:t>
            </w:r>
          </w:p>
        </w:tc>
        <w:tc>
          <w:tcPr>
            <w:tcW w:w="7473" w:type="dxa"/>
            <w:gridSpan w:val="6"/>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420"/>
              <w:rPr>
                <w:rFonts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4" w:hRule="atLeast"/>
          <w:jc w:val="center"/>
        </w:trPr>
        <w:tc>
          <w:tcPr>
            <w:tcW w:w="162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0" w:firstLineChars="0"/>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开户银行</w:t>
            </w:r>
          </w:p>
        </w:tc>
        <w:tc>
          <w:tcPr>
            <w:tcW w:w="7473" w:type="dxa"/>
            <w:gridSpan w:val="6"/>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420"/>
              <w:rPr>
                <w:rFonts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atLeast"/>
          <w:jc w:val="center"/>
        </w:trPr>
        <w:tc>
          <w:tcPr>
            <w:tcW w:w="162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0" w:firstLineChars="0"/>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账号</w:t>
            </w:r>
          </w:p>
        </w:tc>
        <w:tc>
          <w:tcPr>
            <w:tcW w:w="7473" w:type="dxa"/>
            <w:gridSpan w:val="6"/>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420"/>
              <w:rPr>
                <w:rFonts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162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0" w:firstLineChars="0"/>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经营范围</w:t>
            </w:r>
          </w:p>
        </w:tc>
        <w:tc>
          <w:tcPr>
            <w:tcW w:w="7473" w:type="dxa"/>
            <w:gridSpan w:val="6"/>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pStyle w:val="2"/>
              <w:tabs>
                <w:tab w:val="left" w:pos="0"/>
              </w:tabs>
              <w:spacing w:after="0" w:line="240" w:lineRule="auto"/>
              <w:ind w:left="0" w:leftChars="0" w:firstLine="0" w:firstLineChars="0"/>
              <w:rPr>
                <w:rFonts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1626"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snapToGrid w:val="0"/>
              <w:spacing w:line="240" w:lineRule="auto"/>
              <w:ind w:firstLine="0" w:firstLineChars="0"/>
              <w:jc w:val="left"/>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备注</w:t>
            </w:r>
          </w:p>
        </w:tc>
        <w:tc>
          <w:tcPr>
            <w:tcW w:w="7473" w:type="dxa"/>
            <w:gridSpan w:val="6"/>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pStyle w:val="2"/>
              <w:tabs>
                <w:tab w:val="left" w:pos="0"/>
              </w:tabs>
              <w:spacing w:after="0" w:line="240" w:lineRule="auto"/>
              <w:ind w:left="0" w:leftChars="0" w:firstLine="0" w:firstLineChars="0"/>
              <w:rPr>
                <w:rFonts w:asciiTheme="majorEastAsia" w:hAnsiTheme="majorEastAsia" w:eastAsiaTheme="majorEastAsia" w:cstheme="majorEastAsia"/>
                <w:sz w:val="21"/>
                <w:szCs w:val="21"/>
              </w:rPr>
            </w:pPr>
          </w:p>
        </w:tc>
      </w:tr>
    </w:tbl>
    <w:p>
      <w:pPr>
        <w:spacing w:line="320" w:lineRule="exact"/>
        <w:ind w:firstLine="482"/>
        <w:rPr>
          <w:rFonts w:ascii="仿宋_GB2312" w:eastAsia="仿宋_GB2312"/>
          <w:b/>
          <w:color w:val="000000"/>
        </w:rPr>
      </w:pPr>
    </w:p>
    <w:p>
      <w:pPr>
        <w:spacing w:line="320" w:lineRule="exact"/>
        <w:ind w:firstLine="482"/>
        <w:rPr>
          <w:rFonts w:ascii="仿宋_GB2312" w:eastAsia="仿宋_GB2312"/>
          <w:b/>
          <w:color w:val="000000"/>
        </w:rPr>
      </w:pPr>
    </w:p>
    <w:p>
      <w:pPr>
        <w:spacing w:line="320" w:lineRule="exact"/>
        <w:ind w:firstLine="480"/>
        <w:rPr>
          <w:rFonts w:ascii="仿宋_GB2312" w:eastAsia="仿宋_GB2312"/>
          <w:bCs/>
          <w:color w:val="000000"/>
        </w:rPr>
      </w:pPr>
    </w:p>
    <w:p>
      <w:pPr>
        <w:pStyle w:val="19"/>
        <w:adjustRightInd w:val="0"/>
        <w:snapToGrid w:val="0"/>
        <w:spacing w:line="360" w:lineRule="auto"/>
        <w:ind w:firstLine="420"/>
        <w:rPr>
          <w:rFonts w:hAnsi="宋体"/>
          <w:bCs/>
        </w:rPr>
      </w:pPr>
      <w:r>
        <w:rPr>
          <w:rFonts w:hint="eastAsia" w:hAnsi="宋体"/>
          <w:bCs/>
        </w:rPr>
        <w:t>投标人全称（盖单位公章）：</w:t>
      </w:r>
    </w:p>
    <w:p>
      <w:pPr>
        <w:pStyle w:val="19"/>
        <w:adjustRightInd w:val="0"/>
        <w:snapToGrid w:val="0"/>
        <w:spacing w:line="360" w:lineRule="auto"/>
        <w:ind w:firstLine="420"/>
        <w:rPr>
          <w:rFonts w:hAnsi="宋体"/>
          <w:bCs/>
        </w:rPr>
      </w:pPr>
      <w:r>
        <w:rPr>
          <w:rFonts w:hint="eastAsia" w:hAnsi="宋体"/>
          <w:bCs/>
        </w:rPr>
        <w:t>法定代表人或其授权委托人（签字或盖章）：</w:t>
      </w:r>
    </w:p>
    <w:p>
      <w:pPr>
        <w:pStyle w:val="19"/>
        <w:adjustRightInd w:val="0"/>
        <w:snapToGrid w:val="0"/>
        <w:spacing w:line="360" w:lineRule="auto"/>
        <w:ind w:firstLine="420"/>
        <w:rPr>
          <w:rFonts w:hAnsi="宋体"/>
          <w:bCs/>
        </w:rPr>
      </w:pPr>
      <w:r>
        <w:rPr>
          <w:rFonts w:hint="eastAsia" w:hAnsi="宋体"/>
          <w:bCs/>
        </w:rPr>
        <w:t>日期：</w:t>
      </w:r>
    </w:p>
    <w:p>
      <w:pPr>
        <w:adjustRightInd w:val="0"/>
        <w:snapToGrid w:val="0"/>
        <w:spacing w:line="360" w:lineRule="auto"/>
        <w:ind w:firstLine="482"/>
        <w:outlineLvl w:val="0"/>
        <w:rPr>
          <w:rFonts w:ascii="宋体" w:hAnsi="宋体" w:cs="宋体"/>
          <w:b/>
        </w:rPr>
      </w:pPr>
      <w:bookmarkStart w:id="412" w:name="_Toc11190"/>
      <w:bookmarkStart w:id="413" w:name="_Toc18812"/>
      <w:r>
        <w:rPr>
          <w:rFonts w:hint="eastAsia" w:ascii="宋体" w:hAnsi="宋体" w:cs="宋体"/>
          <w:b/>
        </w:rPr>
        <w:t>四、类似项目业绩</w:t>
      </w:r>
      <w:bookmarkEnd w:id="412"/>
      <w:bookmarkEnd w:id="413"/>
    </w:p>
    <w:p>
      <w:pPr>
        <w:spacing w:line="600" w:lineRule="exact"/>
        <w:ind w:firstLine="562"/>
        <w:jc w:val="center"/>
        <w:rPr>
          <w:rFonts w:ascii="宋体" w:hAnsi="宋体" w:eastAsia="宋体" w:cs="宋体"/>
          <w:b/>
          <w:sz w:val="28"/>
          <w:szCs w:val="28"/>
        </w:rPr>
      </w:pPr>
      <w:bookmarkStart w:id="414" w:name="_Toc17387"/>
      <w:r>
        <w:rPr>
          <w:rFonts w:hint="eastAsia" w:ascii="宋体" w:hAnsi="宋体" w:eastAsia="宋体" w:cs="宋体"/>
          <w:b/>
          <w:sz w:val="28"/>
          <w:szCs w:val="28"/>
        </w:rPr>
        <w:t>类似项目实施情况一览表</w:t>
      </w:r>
      <w:bookmarkEnd w:id="414"/>
    </w:p>
    <w:p>
      <w:pPr>
        <w:pStyle w:val="28"/>
        <w:spacing w:line="360" w:lineRule="auto"/>
        <w:ind w:left="480" w:hanging="480"/>
        <w:rPr>
          <w:rFonts w:ascii="宋体" w:hAnsi="宋体" w:cs="宋体"/>
          <w:sz w:val="24"/>
        </w:rPr>
      </w:pPr>
    </w:p>
    <w:tbl>
      <w:tblPr>
        <w:tblStyle w:val="37"/>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1134"/>
        <w:gridCol w:w="1443"/>
        <w:gridCol w:w="684"/>
        <w:gridCol w:w="1155"/>
        <w:gridCol w:w="830"/>
        <w:gridCol w:w="1558"/>
        <w:gridCol w:w="1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采购单位</w:t>
            </w:r>
          </w:p>
        </w:tc>
        <w:tc>
          <w:tcPr>
            <w:tcW w:w="144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项目名称</w:t>
            </w:r>
          </w:p>
        </w:tc>
        <w:tc>
          <w:tcPr>
            <w:tcW w:w="684"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合同金额（万元）</w:t>
            </w:r>
          </w:p>
        </w:tc>
        <w:tc>
          <w:tcPr>
            <w:tcW w:w="83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附件页码</w:t>
            </w:r>
          </w:p>
        </w:tc>
        <w:tc>
          <w:tcPr>
            <w:tcW w:w="155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合同签订时间</w:t>
            </w:r>
          </w:p>
        </w:tc>
        <w:tc>
          <w:tcPr>
            <w:tcW w:w="1985"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采购单位联系人</w:t>
            </w:r>
          </w:p>
          <w:p>
            <w:pPr>
              <w:ind w:firstLine="0" w:firstLineChars="0"/>
              <w:rPr>
                <w:rFonts w:asciiTheme="majorEastAsia" w:hAnsiTheme="majorEastAsia" w:eastAsiaTheme="majorEastAsia" w:cstheme="majorEastAsia"/>
                <w:bCs/>
                <w:sz w:val="21"/>
                <w:szCs w:val="21"/>
              </w:rPr>
            </w:pPr>
            <w:r>
              <w:rPr>
                <w:rFonts w:hint="eastAsia" w:asciiTheme="majorEastAsia" w:hAnsiTheme="majorEastAsia" w:eastAsiaTheme="majorEastAsia" w:cstheme="majorEastAsia"/>
                <w:bCs/>
                <w:sz w:val="21"/>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szCs w:val="20"/>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szCs w:val="20"/>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szCs w:val="20"/>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szCs w:val="20"/>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51"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szCs w:val="20"/>
              </w:rPr>
            </w:pPr>
          </w:p>
        </w:tc>
        <w:tc>
          <w:tcPr>
            <w:tcW w:w="1443"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szCs w:val="20"/>
              </w:rPr>
            </w:pPr>
          </w:p>
        </w:tc>
        <w:tc>
          <w:tcPr>
            <w:tcW w:w="684"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szCs w:val="20"/>
              </w:rPr>
            </w:pPr>
          </w:p>
        </w:tc>
        <w:tc>
          <w:tcPr>
            <w:tcW w:w="1155"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szCs w:val="20"/>
              </w:rPr>
            </w:pPr>
          </w:p>
        </w:tc>
        <w:tc>
          <w:tcPr>
            <w:tcW w:w="830"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szCs w:val="20"/>
              </w:rPr>
            </w:pPr>
          </w:p>
        </w:tc>
        <w:tc>
          <w:tcPr>
            <w:tcW w:w="1558" w:type="dxa"/>
            <w:tcBorders>
              <w:top w:val="single" w:color="auto" w:sz="4" w:space="0"/>
              <w:left w:val="single" w:color="auto" w:sz="4" w:space="0"/>
              <w:bottom w:val="single" w:color="auto" w:sz="4" w:space="0"/>
              <w:right w:val="single" w:color="auto" w:sz="4" w:space="0"/>
            </w:tcBorders>
            <w:vAlign w:val="center"/>
          </w:tcPr>
          <w:p>
            <w:pPr>
              <w:ind w:firstLine="480"/>
              <w:jc w:val="center"/>
              <w:rPr>
                <w:rFonts w:ascii="宋体" w:hAnsi="宋体" w:cs="宋体"/>
                <w:szCs w:val="20"/>
              </w:rPr>
            </w:pPr>
          </w:p>
        </w:tc>
        <w:tc>
          <w:tcPr>
            <w:tcW w:w="1985" w:type="dxa"/>
            <w:tcBorders>
              <w:top w:val="single" w:color="auto" w:sz="4" w:space="0"/>
              <w:left w:val="single" w:color="auto" w:sz="4" w:space="0"/>
              <w:bottom w:val="single" w:color="auto" w:sz="4" w:space="0"/>
              <w:right w:val="single" w:color="auto" w:sz="4" w:space="0"/>
            </w:tcBorders>
          </w:tcPr>
          <w:p>
            <w:pPr>
              <w:ind w:firstLine="480"/>
              <w:jc w:val="center"/>
              <w:rPr>
                <w:rFonts w:ascii="宋体" w:hAnsi="宋体" w:cs="宋体"/>
                <w:szCs w:val="20"/>
              </w:rPr>
            </w:pPr>
          </w:p>
        </w:tc>
      </w:tr>
    </w:tbl>
    <w:p>
      <w:pPr>
        <w:pStyle w:val="28"/>
        <w:spacing w:line="360" w:lineRule="auto"/>
        <w:ind w:left="480" w:hanging="480"/>
        <w:rPr>
          <w:rFonts w:ascii="宋体" w:hAnsi="宋体" w:cs="宋体"/>
          <w:sz w:val="24"/>
        </w:rPr>
      </w:pPr>
    </w:p>
    <w:p>
      <w:pPr>
        <w:adjustRightInd w:val="0"/>
        <w:snapToGrid w:val="0"/>
        <w:spacing w:line="360" w:lineRule="auto"/>
        <w:ind w:firstLine="420"/>
        <w:outlineLvl w:val="0"/>
        <w:rPr>
          <w:rFonts w:ascii="宋体" w:hAnsi="宋体" w:eastAsia="宋体" w:cs="宋体"/>
          <w:bCs/>
          <w:sz w:val="21"/>
          <w:szCs w:val="21"/>
        </w:rPr>
      </w:pPr>
      <w:bookmarkStart w:id="415" w:name="_Toc22316"/>
      <w:r>
        <w:rPr>
          <w:rFonts w:hint="eastAsia" w:ascii="宋体" w:hAnsi="宋体" w:eastAsia="宋体" w:cs="宋体"/>
          <w:bCs/>
          <w:sz w:val="21"/>
          <w:szCs w:val="21"/>
        </w:rPr>
        <w:t>说明：</w:t>
      </w:r>
      <w:bookmarkEnd w:id="415"/>
    </w:p>
    <w:p>
      <w:pPr>
        <w:adjustRightInd w:val="0"/>
        <w:snapToGrid w:val="0"/>
        <w:spacing w:line="360" w:lineRule="auto"/>
        <w:ind w:firstLine="420"/>
        <w:outlineLvl w:val="0"/>
        <w:rPr>
          <w:rFonts w:ascii="宋体" w:hAnsi="宋体" w:eastAsia="宋体" w:cs="宋体"/>
          <w:bCs/>
          <w:sz w:val="21"/>
          <w:szCs w:val="21"/>
        </w:rPr>
      </w:pPr>
      <w:bookmarkStart w:id="416" w:name="_Toc20270"/>
      <w:bookmarkStart w:id="417" w:name="_Toc7720"/>
      <w:r>
        <w:rPr>
          <w:rFonts w:hint="eastAsia" w:ascii="宋体" w:hAnsi="宋体" w:eastAsia="宋体" w:cs="宋体"/>
          <w:bCs/>
          <w:sz w:val="21"/>
          <w:szCs w:val="21"/>
        </w:rPr>
        <w:t>1、投标人须提供上述业绩证明资料扫描件；</w:t>
      </w:r>
      <w:bookmarkEnd w:id="416"/>
      <w:bookmarkEnd w:id="417"/>
    </w:p>
    <w:p>
      <w:pPr>
        <w:adjustRightInd w:val="0"/>
        <w:snapToGrid w:val="0"/>
        <w:spacing w:line="360" w:lineRule="auto"/>
        <w:ind w:firstLine="420"/>
        <w:outlineLvl w:val="0"/>
        <w:rPr>
          <w:rFonts w:ascii="宋体" w:hAnsi="宋体" w:eastAsia="宋体" w:cs="宋体"/>
          <w:bCs/>
          <w:sz w:val="21"/>
          <w:szCs w:val="21"/>
        </w:rPr>
      </w:pPr>
      <w:bookmarkStart w:id="418" w:name="_Toc4073"/>
      <w:bookmarkStart w:id="419" w:name="_Toc27909"/>
      <w:r>
        <w:rPr>
          <w:rFonts w:hint="eastAsia" w:ascii="宋体" w:hAnsi="宋体" w:eastAsia="宋体" w:cs="宋体"/>
          <w:bCs/>
          <w:sz w:val="21"/>
          <w:szCs w:val="21"/>
        </w:rPr>
        <w:t>2、所有合同扫描件应清晰，应能体现合同签订时间、双方签字盖章等内容；</w:t>
      </w:r>
      <w:bookmarkEnd w:id="418"/>
      <w:bookmarkEnd w:id="419"/>
    </w:p>
    <w:p>
      <w:pPr>
        <w:adjustRightInd w:val="0"/>
        <w:snapToGrid w:val="0"/>
        <w:spacing w:line="360" w:lineRule="auto"/>
        <w:ind w:firstLine="420"/>
        <w:outlineLvl w:val="0"/>
        <w:rPr>
          <w:rFonts w:ascii="宋体" w:hAnsi="宋体" w:eastAsia="宋体" w:cs="宋体"/>
          <w:bCs/>
          <w:sz w:val="21"/>
          <w:szCs w:val="21"/>
        </w:rPr>
      </w:pPr>
      <w:bookmarkStart w:id="420" w:name="_Toc19367"/>
      <w:bookmarkStart w:id="421" w:name="_Toc31007"/>
      <w:r>
        <w:rPr>
          <w:rFonts w:hint="eastAsia" w:ascii="宋体" w:hAnsi="宋体" w:eastAsia="宋体" w:cs="宋体"/>
          <w:bCs/>
          <w:sz w:val="21"/>
          <w:szCs w:val="21"/>
        </w:rPr>
        <w:t>3、投标人应在不涉及商业秘密的前提下尽可能提供详细的合同扫描件内容。</w:t>
      </w:r>
      <w:bookmarkEnd w:id="420"/>
      <w:bookmarkEnd w:id="421"/>
    </w:p>
    <w:p>
      <w:pPr>
        <w:spacing w:line="360" w:lineRule="auto"/>
        <w:ind w:left="240" w:leftChars="100" w:firstLine="480"/>
        <w:rPr>
          <w:rFonts w:ascii="宋体" w:hAnsi="宋体" w:cs="宋体"/>
          <w:szCs w:val="21"/>
        </w:rPr>
      </w:pPr>
    </w:p>
    <w:p>
      <w:pPr>
        <w:spacing w:line="360" w:lineRule="auto"/>
        <w:ind w:left="240" w:leftChars="100" w:firstLine="480"/>
        <w:rPr>
          <w:rFonts w:ascii="宋体" w:hAnsi="宋体" w:cs="宋体"/>
          <w:szCs w:val="21"/>
        </w:rPr>
      </w:pPr>
    </w:p>
    <w:p>
      <w:pPr>
        <w:pStyle w:val="19"/>
        <w:adjustRightInd w:val="0"/>
        <w:snapToGrid w:val="0"/>
        <w:spacing w:line="360" w:lineRule="auto"/>
        <w:ind w:firstLine="420"/>
        <w:rPr>
          <w:rFonts w:hAnsi="宋体"/>
        </w:rPr>
      </w:pPr>
      <w:bookmarkStart w:id="422" w:name="_Toc345575544"/>
      <w:bookmarkStart w:id="423" w:name="_Toc245088206"/>
      <w:r>
        <w:rPr>
          <w:rFonts w:hint="eastAsia" w:hAnsi="宋体"/>
        </w:rPr>
        <w:t>投标人全称（盖单位公章）：</w:t>
      </w:r>
    </w:p>
    <w:p>
      <w:pPr>
        <w:pStyle w:val="19"/>
        <w:adjustRightInd w:val="0"/>
        <w:snapToGrid w:val="0"/>
        <w:spacing w:line="360" w:lineRule="auto"/>
        <w:ind w:firstLine="420"/>
        <w:rPr>
          <w:rFonts w:hAnsi="宋体"/>
        </w:rPr>
      </w:pPr>
      <w:r>
        <w:rPr>
          <w:rFonts w:hint="eastAsia" w:hAnsi="宋体"/>
        </w:rPr>
        <w:t>法定代表人或其授权委托人（签字或盖章）：</w:t>
      </w:r>
    </w:p>
    <w:p>
      <w:pPr>
        <w:pStyle w:val="19"/>
        <w:adjustRightInd w:val="0"/>
        <w:snapToGrid w:val="0"/>
        <w:spacing w:line="360" w:lineRule="auto"/>
        <w:ind w:firstLine="420"/>
        <w:rPr>
          <w:rFonts w:hAnsi="宋体"/>
        </w:rPr>
      </w:pPr>
      <w:r>
        <w:rPr>
          <w:rFonts w:hint="eastAsia" w:hAnsi="宋体"/>
        </w:rPr>
        <w:t>日期：</w:t>
      </w:r>
    </w:p>
    <w:p>
      <w:pPr>
        <w:pStyle w:val="16"/>
        <w:snapToGrid w:val="0"/>
        <w:spacing w:line="360" w:lineRule="auto"/>
        <w:ind w:left="0" w:leftChars="0" w:firstLine="0" w:firstLineChars="0"/>
        <w:rPr>
          <w:rFonts w:ascii="宋体" w:hAnsi="宋体" w:cs="宋体"/>
          <w:spacing w:val="20"/>
        </w:rPr>
      </w:pPr>
    </w:p>
    <w:p>
      <w:pPr>
        <w:pStyle w:val="16"/>
        <w:snapToGrid w:val="0"/>
        <w:spacing w:line="360" w:lineRule="auto"/>
        <w:ind w:left="0" w:leftChars="0" w:firstLine="0" w:firstLineChars="0"/>
        <w:rPr>
          <w:rFonts w:ascii="宋体" w:hAnsi="宋体" w:cs="宋体"/>
          <w:spacing w:val="20"/>
        </w:rPr>
      </w:pPr>
    </w:p>
    <w:bookmarkEnd w:id="422"/>
    <w:bookmarkEnd w:id="423"/>
    <w:p>
      <w:pPr>
        <w:spacing w:line="360" w:lineRule="auto"/>
        <w:ind w:firstLine="560"/>
        <w:jc w:val="center"/>
        <w:rPr>
          <w:rFonts w:hAnsi="宋体" w:cs="宋体"/>
          <w:spacing w:val="20"/>
        </w:rPr>
      </w:pPr>
    </w:p>
    <w:p>
      <w:pPr>
        <w:pStyle w:val="36"/>
        <w:ind w:firstLine="280"/>
        <w:rPr>
          <w:rFonts w:hAnsi="宋体" w:cs="宋体"/>
          <w:spacing w:val="20"/>
        </w:rPr>
      </w:pPr>
    </w:p>
    <w:p>
      <w:pPr>
        <w:ind w:firstLine="560"/>
        <w:rPr>
          <w:rFonts w:hAnsi="宋体" w:cs="宋体"/>
          <w:spacing w:val="20"/>
        </w:rPr>
      </w:pPr>
    </w:p>
    <w:p>
      <w:pPr>
        <w:pStyle w:val="11"/>
        <w:ind w:firstLine="480"/>
      </w:pPr>
    </w:p>
    <w:p>
      <w:pPr>
        <w:pStyle w:val="36"/>
        <w:ind w:firstLine="280"/>
        <w:rPr>
          <w:rFonts w:hAnsi="宋体" w:cs="宋体"/>
          <w:spacing w:val="20"/>
        </w:rPr>
      </w:pPr>
    </w:p>
    <w:p>
      <w:pPr>
        <w:adjustRightInd w:val="0"/>
        <w:snapToGrid w:val="0"/>
        <w:spacing w:line="360" w:lineRule="auto"/>
        <w:ind w:firstLine="482"/>
        <w:rPr>
          <w:rFonts w:ascii="宋体" w:hAnsi="宋体" w:cs="宋体"/>
          <w:b/>
        </w:rPr>
      </w:pPr>
      <w:bookmarkStart w:id="424" w:name="_Toc336683581"/>
      <w:bookmarkStart w:id="425" w:name="_Toc345575543"/>
      <w:bookmarkStart w:id="426" w:name="_Toc30322"/>
    </w:p>
    <w:p>
      <w:pPr>
        <w:adjustRightInd w:val="0"/>
        <w:snapToGrid w:val="0"/>
        <w:spacing w:line="360" w:lineRule="auto"/>
        <w:ind w:firstLine="482"/>
        <w:outlineLvl w:val="0"/>
        <w:rPr>
          <w:rFonts w:ascii="宋体" w:hAnsi="宋体" w:cs="宋体"/>
          <w:b/>
        </w:rPr>
      </w:pPr>
      <w:bookmarkStart w:id="427" w:name="_Toc30224"/>
    </w:p>
    <w:p>
      <w:pPr>
        <w:adjustRightInd w:val="0"/>
        <w:snapToGrid w:val="0"/>
        <w:spacing w:line="360" w:lineRule="auto"/>
        <w:ind w:firstLine="482"/>
        <w:outlineLvl w:val="0"/>
        <w:rPr>
          <w:rFonts w:ascii="宋体" w:hAnsi="宋体" w:cs="宋体"/>
          <w:b/>
          <w:bCs/>
          <w:sz w:val="32"/>
          <w:szCs w:val="32"/>
        </w:rPr>
      </w:pPr>
      <w:r>
        <w:rPr>
          <w:rFonts w:hint="eastAsia" w:ascii="宋体" w:hAnsi="宋体" w:cs="宋体"/>
          <w:b/>
        </w:rPr>
        <w:t>五、</w:t>
      </w:r>
      <w:bookmarkEnd w:id="424"/>
      <w:bookmarkEnd w:id="425"/>
      <w:r>
        <w:rPr>
          <w:rFonts w:hint="eastAsia" w:ascii="宋体" w:hAnsi="宋体" w:cs="宋体"/>
          <w:b/>
        </w:rPr>
        <w:t>投标响应表（偏离表）格式</w:t>
      </w:r>
      <w:bookmarkEnd w:id="426"/>
      <w:bookmarkEnd w:id="427"/>
    </w:p>
    <w:p>
      <w:pPr>
        <w:spacing w:line="360" w:lineRule="auto"/>
        <w:ind w:left="321" w:hanging="321" w:hangingChars="100"/>
        <w:jc w:val="center"/>
        <w:rPr>
          <w:rFonts w:ascii="宋体" w:hAnsi="宋体" w:cs="宋体"/>
          <w:b/>
          <w:bCs/>
          <w:sz w:val="32"/>
          <w:szCs w:val="32"/>
        </w:rPr>
      </w:pPr>
      <w:r>
        <w:rPr>
          <w:rFonts w:hint="eastAsia" w:ascii="宋体" w:hAnsi="宋体" w:cs="宋体"/>
          <w:b/>
          <w:bCs/>
          <w:sz w:val="32"/>
          <w:szCs w:val="32"/>
        </w:rPr>
        <w:t>投标响应表（商务偏离表）</w:t>
      </w:r>
    </w:p>
    <w:p>
      <w:pPr>
        <w:spacing w:line="360" w:lineRule="auto"/>
        <w:ind w:firstLine="420"/>
        <w:rPr>
          <w:rFonts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rPr>
        <w:t>项目名称：</w:t>
      </w:r>
    </w:p>
    <w:tbl>
      <w:tblPr>
        <w:tblStyle w:val="37"/>
        <w:tblpPr w:leftFromText="180" w:rightFromText="180" w:vertAnchor="text" w:horzAnchor="page" w:tblpX="1245" w:tblpY="1009"/>
        <w:tblOverlap w:val="never"/>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3060"/>
        <w:gridCol w:w="2340"/>
        <w:gridCol w:w="28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snapToGrid w:val="0"/>
              <w:ind w:firstLine="0" w:firstLineChars="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序号</w:t>
            </w:r>
          </w:p>
        </w:tc>
        <w:tc>
          <w:tcPr>
            <w:tcW w:w="3060" w:type="dxa"/>
            <w:vAlign w:val="center"/>
          </w:tcPr>
          <w:p>
            <w:pPr>
              <w:snapToGrid w:val="0"/>
              <w:ind w:firstLine="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采购要求</w:t>
            </w:r>
          </w:p>
        </w:tc>
        <w:tc>
          <w:tcPr>
            <w:tcW w:w="2340" w:type="dxa"/>
            <w:vAlign w:val="center"/>
          </w:tcPr>
          <w:p>
            <w:pPr>
              <w:snapToGrid w:val="0"/>
              <w:ind w:firstLine="0" w:firstLineChars="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投标响应</w:t>
            </w:r>
          </w:p>
        </w:tc>
        <w:tc>
          <w:tcPr>
            <w:tcW w:w="2880" w:type="dxa"/>
            <w:vAlign w:val="center"/>
          </w:tcPr>
          <w:p>
            <w:pPr>
              <w:snapToGrid w:val="0"/>
              <w:ind w:firstLine="0" w:firstLineChars="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说明（正/负/无偏离）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snapToGrid w:val="0"/>
              <w:ind w:firstLine="560"/>
              <w:jc w:val="center"/>
              <w:rPr>
                <w:rFonts w:asciiTheme="majorEastAsia" w:hAnsiTheme="majorEastAsia" w:eastAsiaTheme="majorEastAsia" w:cstheme="majorEastAsia"/>
                <w:spacing w:val="20"/>
              </w:rPr>
            </w:pPr>
          </w:p>
        </w:tc>
        <w:tc>
          <w:tcPr>
            <w:tcW w:w="3060" w:type="dxa"/>
            <w:vAlign w:val="center"/>
          </w:tcPr>
          <w:p>
            <w:pPr>
              <w:snapToGrid w:val="0"/>
              <w:ind w:firstLine="560"/>
              <w:jc w:val="center"/>
              <w:rPr>
                <w:rFonts w:asciiTheme="majorEastAsia" w:hAnsiTheme="majorEastAsia" w:eastAsiaTheme="majorEastAsia" w:cstheme="majorEastAsia"/>
                <w:spacing w:val="20"/>
              </w:rPr>
            </w:pPr>
          </w:p>
        </w:tc>
        <w:tc>
          <w:tcPr>
            <w:tcW w:w="2340" w:type="dxa"/>
            <w:vAlign w:val="center"/>
          </w:tcPr>
          <w:p>
            <w:pPr>
              <w:snapToGrid w:val="0"/>
              <w:ind w:firstLine="560"/>
              <w:jc w:val="center"/>
              <w:rPr>
                <w:rFonts w:asciiTheme="majorEastAsia" w:hAnsiTheme="majorEastAsia" w:eastAsiaTheme="majorEastAsia" w:cstheme="majorEastAsia"/>
                <w:spacing w:val="20"/>
              </w:rPr>
            </w:pPr>
          </w:p>
        </w:tc>
        <w:tc>
          <w:tcPr>
            <w:tcW w:w="2880" w:type="dxa"/>
            <w:vAlign w:val="center"/>
          </w:tcPr>
          <w:p>
            <w:pPr>
              <w:snapToGrid w:val="0"/>
              <w:ind w:firstLine="560"/>
              <w:jc w:val="center"/>
              <w:rPr>
                <w:rFonts w:asciiTheme="majorEastAsia" w:hAnsiTheme="majorEastAsia" w:eastAsiaTheme="majorEastAsia" w:cstheme="majorEastAsia"/>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snapToGrid w:val="0"/>
              <w:ind w:firstLine="560"/>
              <w:jc w:val="center"/>
              <w:rPr>
                <w:rFonts w:asciiTheme="majorEastAsia" w:hAnsiTheme="majorEastAsia" w:eastAsiaTheme="majorEastAsia" w:cstheme="majorEastAsia"/>
                <w:spacing w:val="20"/>
              </w:rPr>
            </w:pPr>
          </w:p>
        </w:tc>
        <w:tc>
          <w:tcPr>
            <w:tcW w:w="3060" w:type="dxa"/>
            <w:vAlign w:val="center"/>
          </w:tcPr>
          <w:p>
            <w:pPr>
              <w:snapToGrid w:val="0"/>
              <w:ind w:firstLine="560"/>
              <w:jc w:val="center"/>
              <w:rPr>
                <w:rFonts w:asciiTheme="majorEastAsia" w:hAnsiTheme="majorEastAsia" w:eastAsiaTheme="majorEastAsia" w:cstheme="majorEastAsia"/>
                <w:spacing w:val="20"/>
              </w:rPr>
            </w:pPr>
          </w:p>
        </w:tc>
        <w:tc>
          <w:tcPr>
            <w:tcW w:w="2340" w:type="dxa"/>
            <w:vAlign w:val="center"/>
          </w:tcPr>
          <w:p>
            <w:pPr>
              <w:snapToGrid w:val="0"/>
              <w:ind w:firstLine="560"/>
              <w:jc w:val="center"/>
              <w:rPr>
                <w:rFonts w:asciiTheme="majorEastAsia" w:hAnsiTheme="majorEastAsia" w:eastAsiaTheme="majorEastAsia" w:cstheme="majorEastAsia"/>
                <w:spacing w:val="20"/>
              </w:rPr>
            </w:pPr>
          </w:p>
        </w:tc>
        <w:tc>
          <w:tcPr>
            <w:tcW w:w="2880" w:type="dxa"/>
            <w:vAlign w:val="center"/>
          </w:tcPr>
          <w:p>
            <w:pPr>
              <w:snapToGrid w:val="0"/>
              <w:ind w:firstLine="560"/>
              <w:jc w:val="center"/>
              <w:rPr>
                <w:rFonts w:asciiTheme="majorEastAsia" w:hAnsiTheme="majorEastAsia" w:eastAsiaTheme="majorEastAsia" w:cstheme="majorEastAsia"/>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snapToGrid w:val="0"/>
              <w:ind w:firstLine="560"/>
              <w:jc w:val="center"/>
              <w:rPr>
                <w:rFonts w:asciiTheme="majorEastAsia" w:hAnsiTheme="majorEastAsia" w:eastAsiaTheme="majorEastAsia" w:cstheme="majorEastAsia"/>
                <w:spacing w:val="20"/>
              </w:rPr>
            </w:pPr>
          </w:p>
        </w:tc>
        <w:tc>
          <w:tcPr>
            <w:tcW w:w="3060" w:type="dxa"/>
            <w:vAlign w:val="center"/>
          </w:tcPr>
          <w:p>
            <w:pPr>
              <w:snapToGrid w:val="0"/>
              <w:ind w:firstLine="560"/>
              <w:jc w:val="center"/>
              <w:rPr>
                <w:rFonts w:asciiTheme="majorEastAsia" w:hAnsiTheme="majorEastAsia" w:eastAsiaTheme="majorEastAsia" w:cstheme="majorEastAsia"/>
                <w:spacing w:val="20"/>
              </w:rPr>
            </w:pPr>
          </w:p>
        </w:tc>
        <w:tc>
          <w:tcPr>
            <w:tcW w:w="2340" w:type="dxa"/>
            <w:vAlign w:val="center"/>
          </w:tcPr>
          <w:p>
            <w:pPr>
              <w:snapToGrid w:val="0"/>
              <w:ind w:firstLine="560"/>
              <w:jc w:val="center"/>
              <w:rPr>
                <w:rFonts w:asciiTheme="majorEastAsia" w:hAnsiTheme="majorEastAsia" w:eastAsiaTheme="majorEastAsia" w:cstheme="majorEastAsia"/>
                <w:spacing w:val="20"/>
              </w:rPr>
            </w:pPr>
          </w:p>
        </w:tc>
        <w:tc>
          <w:tcPr>
            <w:tcW w:w="2880" w:type="dxa"/>
            <w:vAlign w:val="center"/>
          </w:tcPr>
          <w:p>
            <w:pPr>
              <w:snapToGrid w:val="0"/>
              <w:ind w:firstLine="560"/>
              <w:jc w:val="center"/>
              <w:rPr>
                <w:rFonts w:asciiTheme="majorEastAsia" w:hAnsiTheme="majorEastAsia" w:eastAsiaTheme="majorEastAsia" w:cstheme="majorEastAsia"/>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00" w:hRule="atLeast"/>
        </w:trPr>
        <w:tc>
          <w:tcPr>
            <w:tcW w:w="1008" w:type="dxa"/>
            <w:vAlign w:val="center"/>
          </w:tcPr>
          <w:p>
            <w:pPr>
              <w:snapToGrid w:val="0"/>
              <w:ind w:firstLine="560"/>
              <w:jc w:val="center"/>
              <w:rPr>
                <w:rFonts w:asciiTheme="majorEastAsia" w:hAnsiTheme="majorEastAsia" w:eastAsiaTheme="majorEastAsia" w:cstheme="majorEastAsia"/>
                <w:spacing w:val="20"/>
              </w:rPr>
            </w:pPr>
          </w:p>
        </w:tc>
        <w:tc>
          <w:tcPr>
            <w:tcW w:w="3060" w:type="dxa"/>
            <w:vAlign w:val="center"/>
          </w:tcPr>
          <w:p>
            <w:pPr>
              <w:snapToGrid w:val="0"/>
              <w:ind w:firstLine="560"/>
              <w:jc w:val="center"/>
              <w:rPr>
                <w:rFonts w:asciiTheme="majorEastAsia" w:hAnsiTheme="majorEastAsia" w:eastAsiaTheme="majorEastAsia" w:cstheme="majorEastAsia"/>
                <w:spacing w:val="20"/>
              </w:rPr>
            </w:pPr>
          </w:p>
        </w:tc>
        <w:tc>
          <w:tcPr>
            <w:tcW w:w="2340" w:type="dxa"/>
            <w:vAlign w:val="center"/>
          </w:tcPr>
          <w:p>
            <w:pPr>
              <w:snapToGrid w:val="0"/>
              <w:ind w:firstLine="560"/>
              <w:jc w:val="center"/>
              <w:rPr>
                <w:rFonts w:asciiTheme="majorEastAsia" w:hAnsiTheme="majorEastAsia" w:eastAsiaTheme="majorEastAsia" w:cstheme="majorEastAsia"/>
                <w:spacing w:val="20"/>
              </w:rPr>
            </w:pPr>
          </w:p>
        </w:tc>
        <w:tc>
          <w:tcPr>
            <w:tcW w:w="2880" w:type="dxa"/>
            <w:vAlign w:val="center"/>
          </w:tcPr>
          <w:p>
            <w:pPr>
              <w:snapToGrid w:val="0"/>
              <w:ind w:firstLine="560"/>
              <w:jc w:val="center"/>
              <w:rPr>
                <w:rFonts w:asciiTheme="majorEastAsia" w:hAnsiTheme="majorEastAsia" w:eastAsiaTheme="majorEastAsia" w:cstheme="majorEastAsia"/>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snapToGrid w:val="0"/>
              <w:ind w:firstLine="560"/>
              <w:jc w:val="center"/>
              <w:rPr>
                <w:rFonts w:asciiTheme="majorEastAsia" w:hAnsiTheme="majorEastAsia" w:eastAsiaTheme="majorEastAsia" w:cstheme="majorEastAsia"/>
                <w:spacing w:val="20"/>
              </w:rPr>
            </w:pPr>
          </w:p>
        </w:tc>
        <w:tc>
          <w:tcPr>
            <w:tcW w:w="3060" w:type="dxa"/>
            <w:vAlign w:val="center"/>
          </w:tcPr>
          <w:p>
            <w:pPr>
              <w:snapToGrid w:val="0"/>
              <w:ind w:firstLine="560"/>
              <w:jc w:val="center"/>
              <w:rPr>
                <w:rFonts w:asciiTheme="majorEastAsia" w:hAnsiTheme="majorEastAsia" w:eastAsiaTheme="majorEastAsia" w:cstheme="majorEastAsia"/>
                <w:spacing w:val="20"/>
              </w:rPr>
            </w:pPr>
          </w:p>
        </w:tc>
        <w:tc>
          <w:tcPr>
            <w:tcW w:w="2340" w:type="dxa"/>
            <w:vAlign w:val="center"/>
          </w:tcPr>
          <w:p>
            <w:pPr>
              <w:snapToGrid w:val="0"/>
              <w:ind w:firstLine="560"/>
              <w:jc w:val="center"/>
              <w:rPr>
                <w:rFonts w:asciiTheme="majorEastAsia" w:hAnsiTheme="majorEastAsia" w:eastAsiaTheme="majorEastAsia" w:cstheme="majorEastAsia"/>
                <w:spacing w:val="20"/>
              </w:rPr>
            </w:pPr>
          </w:p>
        </w:tc>
        <w:tc>
          <w:tcPr>
            <w:tcW w:w="2880" w:type="dxa"/>
            <w:vAlign w:val="center"/>
          </w:tcPr>
          <w:p>
            <w:pPr>
              <w:snapToGrid w:val="0"/>
              <w:ind w:firstLine="560"/>
              <w:jc w:val="center"/>
              <w:rPr>
                <w:rFonts w:asciiTheme="majorEastAsia" w:hAnsiTheme="majorEastAsia" w:eastAsiaTheme="majorEastAsia" w:cstheme="majorEastAsia"/>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snapToGrid w:val="0"/>
              <w:ind w:firstLine="560"/>
              <w:jc w:val="center"/>
              <w:rPr>
                <w:rFonts w:asciiTheme="majorEastAsia" w:hAnsiTheme="majorEastAsia" w:eastAsiaTheme="majorEastAsia" w:cstheme="majorEastAsia"/>
                <w:spacing w:val="20"/>
              </w:rPr>
            </w:pPr>
          </w:p>
        </w:tc>
        <w:tc>
          <w:tcPr>
            <w:tcW w:w="3060" w:type="dxa"/>
            <w:vAlign w:val="center"/>
          </w:tcPr>
          <w:p>
            <w:pPr>
              <w:snapToGrid w:val="0"/>
              <w:ind w:firstLine="560"/>
              <w:jc w:val="center"/>
              <w:rPr>
                <w:rFonts w:asciiTheme="majorEastAsia" w:hAnsiTheme="majorEastAsia" w:eastAsiaTheme="majorEastAsia" w:cstheme="majorEastAsia"/>
                <w:spacing w:val="20"/>
              </w:rPr>
            </w:pPr>
          </w:p>
        </w:tc>
        <w:tc>
          <w:tcPr>
            <w:tcW w:w="2340" w:type="dxa"/>
            <w:vAlign w:val="center"/>
          </w:tcPr>
          <w:p>
            <w:pPr>
              <w:snapToGrid w:val="0"/>
              <w:ind w:firstLine="560"/>
              <w:jc w:val="center"/>
              <w:rPr>
                <w:rFonts w:asciiTheme="majorEastAsia" w:hAnsiTheme="majorEastAsia" w:eastAsiaTheme="majorEastAsia" w:cstheme="majorEastAsia"/>
                <w:spacing w:val="20"/>
              </w:rPr>
            </w:pPr>
          </w:p>
        </w:tc>
        <w:tc>
          <w:tcPr>
            <w:tcW w:w="2880" w:type="dxa"/>
            <w:vAlign w:val="center"/>
          </w:tcPr>
          <w:p>
            <w:pPr>
              <w:snapToGrid w:val="0"/>
              <w:ind w:firstLine="560"/>
              <w:jc w:val="center"/>
              <w:rPr>
                <w:rFonts w:asciiTheme="majorEastAsia" w:hAnsiTheme="majorEastAsia" w:eastAsiaTheme="majorEastAsia" w:cstheme="majorEastAsia"/>
                <w:spacing w:val="20"/>
              </w:rPr>
            </w:pPr>
          </w:p>
        </w:tc>
      </w:tr>
    </w:tbl>
    <w:p>
      <w:pPr>
        <w:spacing w:line="360" w:lineRule="auto"/>
        <w:ind w:firstLine="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项目编号：</w:t>
      </w:r>
    </w:p>
    <w:p>
      <w:pPr>
        <w:pStyle w:val="9"/>
        <w:ind w:firstLine="480"/>
      </w:pPr>
    </w:p>
    <w:p>
      <w:pPr>
        <w:spacing w:line="360" w:lineRule="auto"/>
        <w:ind w:firstLine="420"/>
        <w:rPr>
          <w:rFonts w:ascii="宋体" w:hAnsi="宋体" w:cs="宋体"/>
          <w:sz w:val="21"/>
          <w:szCs w:val="21"/>
        </w:rPr>
      </w:pPr>
      <w:r>
        <w:rPr>
          <w:rFonts w:hint="eastAsia" w:asciiTheme="majorEastAsia" w:hAnsiTheme="majorEastAsia" w:eastAsiaTheme="majorEastAsia" w:cstheme="majorEastAsia"/>
          <w:sz w:val="21"/>
          <w:szCs w:val="21"/>
        </w:rPr>
        <w:t>填表说明：1、对采购文件有任何偏离（包括正/负/无偏离）均应汇总并填写在此表中。</w:t>
      </w:r>
    </w:p>
    <w:p>
      <w:pPr>
        <w:snapToGrid w:val="0"/>
        <w:spacing w:line="360" w:lineRule="auto"/>
        <w:ind w:firstLine="1470" w:firstLineChars="700"/>
        <w:rPr>
          <w:rFonts w:ascii="宋体" w:hAnsi="宋体" w:eastAsia="宋体"/>
          <w:bCs/>
          <w:sz w:val="21"/>
          <w:szCs w:val="21"/>
        </w:rPr>
      </w:pPr>
      <w:r>
        <w:rPr>
          <w:rFonts w:hint="eastAsia" w:ascii="宋体" w:hAnsi="宋体" w:eastAsia="宋体"/>
          <w:bCs/>
          <w:sz w:val="21"/>
          <w:szCs w:val="21"/>
        </w:rPr>
        <w:t>2、投标人若不填写，则视为完全响应招标文件要求。</w:t>
      </w:r>
    </w:p>
    <w:p>
      <w:pPr>
        <w:spacing w:line="360" w:lineRule="auto"/>
        <w:ind w:firstLine="420"/>
        <w:rPr>
          <w:rFonts w:ascii="宋体" w:hAnsi="宋体" w:cs="宋体"/>
          <w:sz w:val="21"/>
          <w:szCs w:val="21"/>
        </w:rPr>
      </w:pPr>
    </w:p>
    <w:p>
      <w:pPr>
        <w:spacing w:line="360" w:lineRule="auto"/>
        <w:ind w:firstLine="480"/>
        <w:rPr>
          <w:rFonts w:ascii="宋体" w:hAnsi="宋体" w:cs="宋体"/>
        </w:rPr>
      </w:pPr>
    </w:p>
    <w:p>
      <w:pPr>
        <w:pStyle w:val="19"/>
        <w:adjustRightInd w:val="0"/>
        <w:snapToGrid w:val="0"/>
        <w:spacing w:line="360" w:lineRule="auto"/>
        <w:ind w:firstLine="420"/>
        <w:rPr>
          <w:rFonts w:hAnsi="宋体"/>
          <w:bCs/>
        </w:rPr>
      </w:pPr>
      <w:r>
        <w:rPr>
          <w:rFonts w:hint="eastAsia" w:hAnsi="宋体"/>
          <w:bCs/>
        </w:rPr>
        <w:t>投标人全称（盖单位公章）：</w:t>
      </w:r>
    </w:p>
    <w:p>
      <w:pPr>
        <w:pStyle w:val="19"/>
        <w:adjustRightInd w:val="0"/>
        <w:snapToGrid w:val="0"/>
        <w:spacing w:line="360" w:lineRule="auto"/>
        <w:ind w:firstLine="420"/>
        <w:rPr>
          <w:rFonts w:hAnsi="宋体"/>
          <w:bCs/>
        </w:rPr>
      </w:pPr>
      <w:r>
        <w:rPr>
          <w:rFonts w:hint="eastAsia" w:hAnsi="宋体"/>
          <w:bCs/>
        </w:rPr>
        <w:t>法定代表人或其授权委托人（签字或盖章）：</w:t>
      </w:r>
    </w:p>
    <w:p>
      <w:pPr>
        <w:pStyle w:val="19"/>
        <w:adjustRightInd w:val="0"/>
        <w:snapToGrid w:val="0"/>
        <w:spacing w:line="360" w:lineRule="auto"/>
        <w:ind w:firstLine="420"/>
        <w:rPr>
          <w:rFonts w:hAnsi="宋体"/>
          <w:bCs/>
        </w:rPr>
      </w:pPr>
      <w:r>
        <w:rPr>
          <w:rFonts w:hint="eastAsia" w:hAnsi="宋体"/>
          <w:bCs/>
        </w:rPr>
        <w:t>日期：</w:t>
      </w:r>
    </w:p>
    <w:p>
      <w:pPr>
        <w:ind w:firstLine="480"/>
        <w:rPr>
          <w:rFonts w:ascii="宋体" w:hAnsi="宋体" w:cs="宋体"/>
          <w:szCs w:val="21"/>
        </w:rPr>
      </w:pPr>
    </w:p>
    <w:p>
      <w:pPr>
        <w:ind w:firstLine="480"/>
        <w:rPr>
          <w:rFonts w:ascii="宋体" w:hAnsi="宋体" w:cs="宋体"/>
          <w:szCs w:val="21"/>
        </w:rPr>
      </w:pPr>
    </w:p>
    <w:p>
      <w:pPr>
        <w:pStyle w:val="15"/>
        <w:ind w:firstLine="480"/>
        <w:rPr>
          <w:rFonts w:ascii="宋体" w:hAnsi="宋体" w:cs="宋体"/>
          <w:szCs w:val="21"/>
        </w:rPr>
      </w:pPr>
    </w:p>
    <w:p>
      <w:pPr>
        <w:pStyle w:val="36"/>
        <w:ind w:firstLine="240"/>
        <w:rPr>
          <w:rFonts w:ascii="宋体" w:hAnsi="宋体" w:cs="宋体"/>
          <w:szCs w:val="21"/>
        </w:rPr>
      </w:pPr>
    </w:p>
    <w:p>
      <w:pPr>
        <w:ind w:firstLine="480"/>
        <w:rPr>
          <w:rFonts w:ascii="宋体" w:hAnsi="宋体" w:cs="宋体"/>
          <w:szCs w:val="21"/>
        </w:rPr>
      </w:pPr>
    </w:p>
    <w:p>
      <w:pPr>
        <w:pStyle w:val="15"/>
        <w:ind w:firstLine="480"/>
      </w:pPr>
    </w:p>
    <w:p>
      <w:pPr>
        <w:pStyle w:val="36"/>
        <w:ind w:firstLine="240"/>
      </w:pPr>
    </w:p>
    <w:p>
      <w:pPr>
        <w:pStyle w:val="36"/>
        <w:ind w:firstLine="0" w:firstLineChars="0"/>
      </w:pPr>
    </w:p>
    <w:p>
      <w:pPr>
        <w:spacing w:line="360" w:lineRule="auto"/>
        <w:ind w:left="321" w:hanging="321" w:hangingChars="100"/>
        <w:jc w:val="center"/>
        <w:rPr>
          <w:rFonts w:ascii="宋体" w:hAnsi="宋体" w:cs="宋体"/>
          <w:b/>
          <w:bCs/>
          <w:sz w:val="32"/>
          <w:szCs w:val="32"/>
        </w:rPr>
      </w:pPr>
      <w:r>
        <w:rPr>
          <w:rFonts w:hint="eastAsia" w:ascii="宋体" w:hAnsi="宋体" w:cs="宋体"/>
          <w:b/>
          <w:bCs/>
          <w:sz w:val="32"/>
          <w:szCs w:val="32"/>
        </w:rPr>
        <w:t>投标响应表（技术偏离表）</w:t>
      </w:r>
    </w:p>
    <w:p>
      <w:pPr>
        <w:spacing w:line="360" w:lineRule="auto"/>
        <w:ind w:firstLine="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项目名称：</w:t>
      </w:r>
    </w:p>
    <w:p>
      <w:pPr>
        <w:spacing w:line="360" w:lineRule="auto"/>
        <w:ind w:firstLine="420"/>
      </w:pPr>
      <w:r>
        <w:rPr>
          <w:rFonts w:hint="eastAsia" w:asciiTheme="majorEastAsia" w:hAnsiTheme="majorEastAsia" w:eastAsiaTheme="majorEastAsia" w:cstheme="majorEastAsia"/>
          <w:sz w:val="21"/>
          <w:szCs w:val="21"/>
        </w:rPr>
        <w:t>项目编号：</w:t>
      </w:r>
    </w:p>
    <w:tbl>
      <w:tblPr>
        <w:tblStyle w:val="37"/>
        <w:tblpPr w:leftFromText="180" w:rightFromText="180" w:vertAnchor="text" w:horzAnchor="page" w:tblpX="1271" w:tblpY="468"/>
        <w:tblOverlap w:val="never"/>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3060"/>
        <w:gridCol w:w="2340"/>
        <w:gridCol w:w="288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snapToGrid w:val="0"/>
              <w:ind w:firstLine="0" w:firstLineChars="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序号</w:t>
            </w:r>
          </w:p>
        </w:tc>
        <w:tc>
          <w:tcPr>
            <w:tcW w:w="3060" w:type="dxa"/>
            <w:vAlign w:val="center"/>
          </w:tcPr>
          <w:p>
            <w:pPr>
              <w:snapToGrid w:val="0"/>
              <w:ind w:firstLine="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采购要求</w:t>
            </w:r>
          </w:p>
        </w:tc>
        <w:tc>
          <w:tcPr>
            <w:tcW w:w="2340" w:type="dxa"/>
            <w:vAlign w:val="center"/>
          </w:tcPr>
          <w:p>
            <w:pPr>
              <w:snapToGrid w:val="0"/>
              <w:ind w:firstLine="0" w:firstLineChars="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投标响应</w:t>
            </w:r>
          </w:p>
        </w:tc>
        <w:tc>
          <w:tcPr>
            <w:tcW w:w="2880" w:type="dxa"/>
            <w:vAlign w:val="center"/>
          </w:tcPr>
          <w:p>
            <w:pPr>
              <w:snapToGrid w:val="0"/>
              <w:ind w:firstLine="0" w:firstLineChars="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说明（正/负/无偏离）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snapToGrid w:val="0"/>
              <w:ind w:firstLine="560"/>
              <w:jc w:val="center"/>
              <w:rPr>
                <w:rFonts w:asciiTheme="majorEastAsia" w:hAnsiTheme="majorEastAsia" w:eastAsiaTheme="majorEastAsia" w:cstheme="majorEastAsia"/>
                <w:spacing w:val="20"/>
              </w:rPr>
            </w:pPr>
          </w:p>
        </w:tc>
        <w:tc>
          <w:tcPr>
            <w:tcW w:w="3060" w:type="dxa"/>
            <w:vAlign w:val="center"/>
          </w:tcPr>
          <w:p>
            <w:pPr>
              <w:snapToGrid w:val="0"/>
              <w:ind w:firstLine="560"/>
              <w:jc w:val="center"/>
              <w:rPr>
                <w:rFonts w:asciiTheme="majorEastAsia" w:hAnsiTheme="majorEastAsia" w:eastAsiaTheme="majorEastAsia" w:cstheme="majorEastAsia"/>
                <w:spacing w:val="20"/>
              </w:rPr>
            </w:pPr>
          </w:p>
        </w:tc>
        <w:tc>
          <w:tcPr>
            <w:tcW w:w="2340" w:type="dxa"/>
            <w:vAlign w:val="center"/>
          </w:tcPr>
          <w:p>
            <w:pPr>
              <w:snapToGrid w:val="0"/>
              <w:ind w:firstLine="560"/>
              <w:jc w:val="center"/>
              <w:rPr>
                <w:rFonts w:asciiTheme="majorEastAsia" w:hAnsiTheme="majorEastAsia" w:eastAsiaTheme="majorEastAsia" w:cstheme="majorEastAsia"/>
                <w:spacing w:val="20"/>
              </w:rPr>
            </w:pPr>
          </w:p>
        </w:tc>
        <w:tc>
          <w:tcPr>
            <w:tcW w:w="2880" w:type="dxa"/>
            <w:vAlign w:val="center"/>
          </w:tcPr>
          <w:p>
            <w:pPr>
              <w:snapToGrid w:val="0"/>
              <w:ind w:firstLine="560"/>
              <w:jc w:val="center"/>
              <w:rPr>
                <w:rFonts w:asciiTheme="majorEastAsia" w:hAnsiTheme="majorEastAsia" w:eastAsiaTheme="majorEastAsia" w:cstheme="majorEastAsia"/>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snapToGrid w:val="0"/>
              <w:ind w:firstLine="560"/>
              <w:jc w:val="center"/>
              <w:rPr>
                <w:rFonts w:asciiTheme="majorEastAsia" w:hAnsiTheme="majorEastAsia" w:eastAsiaTheme="majorEastAsia" w:cstheme="majorEastAsia"/>
                <w:spacing w:val="20"/>
              </w:rPr>
            </w:pPr>
          </w:p>
        </w:tc>
        <w:tc>
          <w:tcPr>
            <w:tcW w:w="3060" w:type="dxa"/>
            <w:vAlign w:val="center"/>
          </w:tcPr>
          <w:p>
            <w:pPr>
              <w:snapToGrid w:val="0"/>
              <w:ind w:firstLine="560"/>
              <w:jc w:val="center"/>
              <w:rPr>
                <w:rFonts w:asciiTheme="majorEastAsia" w:hAnsiTheme="majorEastAsia" w:eastAsiaTheme="majorEastAsia" w:cstheme="majorEastAsia"/>
                <w:spacing w:val="20"/>
              </w:rPr>
            </w:pPr>
          </w:p>
        </w:tc>
        <w:tc>
          <w:tcPr>
            <w:tcW w:w="2340" w:type="dxa"/>
            <w:vAlign w:val="center"/>
          </w:tcPr>
          <w:p>
            <w:pPr>
              <w:snapToGrid w:val="0"/>
              <w:ind w:firstLine="560"/>
              <w:jc w:val="center"/>
              <w:rPr>
                <w:rFonts w:asciiTheme="majorEastAsia" w:hAnsiTheme="majorEastAsia" w:eastAsiaTheme="majorEastAsia" w:cstheme="majorEastAsia"/>
                <w:spacing w:val="20"/>
              </w:rPr>
            </w:pPr>
          </w:p>
        </w:tc>
        <w:tc>
          <w:tcPr>
            <w:tcW w:w="2880" w:type="dxa"/>
            <w:vAlign w:val="center"/>
          </w:tcPr>
          <w:p>
            <w:pPr>
              <w:snapToGrid w:val="0"/>
              <w:ind w:firstLine="560"/>
              <w:jc w:val="center"/>
              <w:rPr>
                <w:rFonts w:asciiTheme="majorEastAsia" w:hAnsiTheme="majorEastAsia" w:eastAsiaTheme="majorEastAsia" w:cstheme="majorEastAsia"/>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snapToGrid w:val="0"/>
              <w:ind w:firstLine="560"/>
              <w:jc w:val="center"/>
              <w:rPr>
                <w:rFonts w:asciiTheme="majorEastAsia" w:hAnsiTheme="majorEastAsia" w:eastAsiaTheme="majorEastAsia" w:cstheme="majorEastAsia"/>
                <w:spacing w:val="20"/>
              </w:rPr>
            </w:pPr>
          </w:p>
        </w:tc>
        <w:tc>
          <w:tcPr>
            <w:tcW w:w="3060" w:type="dxa"/>
            <w:vAlign w:val="center"/>
          </w:tcPr>
          <w:p>
            <w:pPr>
              <w:snapToGrid w:val="0"/>
              <w:ind w:firstLine="560"/>
              <w:jc w:val="center"/>
              <w:rPr>
                <w:rFonts w:asciiTheme="majorEastAsia" w:hAnsiTheme="majorEastAsia" w:eastAsiaTheme="majorEastAsia" w:cstheme="majorEastAsia"/>
                <w:spacing w:val="20"/>
              </w:rPr>
            </w:pPr>
          </w:p>
        </w:tc>
        <w:tc>
          <w:tcPr>
            <w:tcW w:w="2340" w:type="dxa"/>
            <w:vAlign w:val="center"/>
          </w:tcPr>
          <w:p>
            <w:pPr>
              <w:snapToGrid w:val="0"/>
              <w:ind w:firstLine="560"/>
              <w:jc w:val="center"/>
              <w:rPr>
                <w:rFonts w:asciiTheme="majorEastAsia" w:hAnsiTheme="majorEastAsia" w:eastAsiaTheme="majorEastAsia" w:cstheme="majorEastAsia"/>
                <w:spacing w:val="20"/>
              </w:rPr>
            </w:pPr>
          </w:p>
        </w:tc>
        <w:tc>
          <w:tcPr>
            <w:tcW w:w="2880" w:type="dxa"/>
            <w:vAlign w:val="center"/>
          </w:tcPr>
          <w:p>
            <w:pPr>
              <w:snapToGrid w:val="0"/>
              <w:ind w:firstLine="560"/>
              <w:jc w:val="center"/>
              <w:rPr>
                <w:rFonts w:asciiTheme="majorEastAsia" w:hAnsiTheme="majorEastAsia" w:eastAsiaTheme="majorEastAsia" w:cstheme="majorEastAsia"/>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snapToGrid w:val="0"/>
              <w:ind w:firstLine="560"/>
              <w:jc w:val="center"/>
              <w:rPr>
                <w:rFonts w:asciiTheme="majorEastAsia" w:hAnsiTheme="majorEastAsia" w:eastAsiaTheme="majorEastAsia" w:cstheme="majorEastAsia"/>
                <w:spacing w:val="20"/>
              </w:rPr>
            </w:pPr>
          </w:p>
        </w:tc>
        <w:tc>
          <w:tcPr>
            <w:tcW w:w="3060" w:type="dxa"/>
            <w:vAlign w:val="center"/>
          </w:tcPr>
          <w:p>
            <w:pPr>
              <w:snapToGrid w:val="0"/>
              <w:ind w:firstLine="560"/>
              <w:jc w:val="center"/>
              <w:rPr>
                <w:rFonts w:asciiTheme="majorEastAsia" w:hAnsiTheme="majorEastAsia" w:eastAsiaTheme="majorEastAsia" w:cstheme="majorEastAsia"/>
                <w:spacing w:val="20"/>
              </w:rPr>
            </w:pPr>
          </w:p>
        </w:tc>
        <w:tc>
          <w:tcPr>
            <w:tcW w:w="2340" w:type="dxa"/>
            <w:vAlign w:val="center"/>
          </w:tcPr>
          <w:p>
            <w:pPr>
              <w:snapToGrid w:val="0"/>
              <w:ind w:firstLine="560"/>
              <w:jc w:val="center"/>
              <w:rPr>
                <w:rFonts w:asciiTheme="majorEastAsia" w:hAnsiTheme="majorEastAsia" w:eastAsiaTheme="majorEastAsia" w:cstheme="majorEastAsia"/>
                <w:spacing w:val="20"/>
              </w:rPr>
            </w:pPr>
          </w:p>
        </w:tc>
        <w:tc>
          <w:tcPr>
            <w:tcW w:w="2880" w:type="dxa"/>
            <w:vAlign w:val="center"/>
          </w:tcPr>
          <w:p>
            <w:pPr>
              <w:snapToGrid w:val="0"/>
              <w:ind w:firstLine="560"/>
              <w:jc w:val="center"/>
              <w:rPr>
                <w:rFonts w:asciiTheme="majorEastAsia" w:hAnsiTheme="majorEastAsia" w:eastAsiaTheme="majorEastAsia" w:cstheme="majorEastAsia"/>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snapToGrid w:val="0"/>
              <w:ind w:firstLine="560"/>
              <w:jc w:val="center"/>
              <w:rPr>
                <w:rFonts w:asciiTheme="majorEastAsia" w:hAnsiTheme="majorEastAsia" w:eastAsiaTheme="majorEastAsia" w:cstheme="majorEastAsia"/>
                <w:spacing w:val="20"/>
              </w:rPr>
            </w:pPr>
          </w:p>
        </w:tc>
        <w:tc>
          <w:tcPr>
            <w:tcW w:w="3060" w:type="dxa"/>
            <w:vAlign w:val="center"/>
          </w:tcPr>
          <w:p>
            <w:pPr>
              <w:snapToGrid w:val="0"/>
              <w:ind w:firstLine="560"/>
              <w:jc w:val="center"/>
              <w:rPr>
                <w:rFonts w:asciiTheme="majorEastAsia" w:hAnsiTheme="majorEastAsia" w:eastAsiaTheme="majorEastAsia" w:cstheme="majorEastAsia"/>
                <w:spacing w:val="20"/>
              </w:rPr>
            </w:pPr>
          </w:p>
        </w:tc>
        <w:tc>
          <w:tcPr>
            <w:tcW w:w="2340" w:type="dxa"/>
            <w:vAlign w:val="center"/>
          </w:tcPr>
          <w:p>
            <w:pPr>
              <w:snapToGrid w:val="0"/>
              <w:ind w:firstLine="560"/>
              <w:jc w:val="center"/>
              <w:rPr>
                <w:rFonts w:asciiTheme="majorEastAsia" w:hAnsiTheme="majorEastAsia" w:eastAsiaTheme="majorEastAsia" w:cstheme="majorEastAsia"/>
                <w:spacing w:val="20"/>
              </w:rPr>
            </w:pPr>
          </w:p>
        </w:tc>
        <w:tc>
          <w:tcPr>
            <w:tcW w:w="2880" w:type="dxa"/>
            <w:vAlign w:val="center"/>
          </w:tcPr>
          <w:p>
            <w:pPr>
              <w:snapToGrid w:val="0"/>
              <w:ind w:firstLine="560"/>
              <w:jc w:val="center"/>
              <w:rPr>
                <w:rFonts w:asciiTheme="majorEastAsia" w:hAnsiTheme="majorEastAsia" w:eastAsiaTheme="majorEastAsia" w:cstheme="majorEastAsia"/>
                <w:spacing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00" w:hRule="atLeast"/>
        </w:trPr>
        <w:tc>
          <w:tcPr>
            <w:tcW w:w="1008" w:type="dxa"/>
            <w:vAlign w:val="center"/>
          </w:tcPr>
          <w:p>
            <w:pPr>
              <w:snapToGrid w:val="0"/>
              <w:ind w:firstLine="560"/>
              <w:jc w:val="center"/>
              <w:rPr>
                <w:rFonts w:asciiTheme="majorEastAsia" w:hAnsiTheme="majorEastAsia" w:eastAsiaTheme="majorEastAsia" w:cstheme="majorEastAsia"/>
                <w:spacing w:val="20"/>
              </w:rPr>
            </w:pPr>
          </w:p>
        </w:tc>
        <w:tc>
          <w:tcPr>
            <w:tcW w:w="3060" w:type="dxa"/>
            <w:vAlign w:val="center"/>
          </w:tcPr>
          <w:p>
            <w:pPr>
              <w:snapToGrid w:val="0"/>
              <w:ind w:firstLine="560"/>
              <w:jc w:val="center"/>
              <w:rPr>
                <w:rFonts w:asciiTheme="majorEastAsia" w:hAnsiTheme="majorEastAsia" w:eastAsiaTheme="majorEastAsia" w:cstheme="majorEastAsia"/>
                <w:spacing w:val="20"/>
              </w:rPr>
            </w:pPr>
          </w:p>
        </w:tc>
        <w:tc>
          <w:tcPr>
            <w:tcW w:w="2340" w:type="dxa"/>
            <w:vAlign w:val="center"/>
          </w:tcPr>
          <w:p>
            <w:pPr>
              <w:snapToGrid w:val="0"/>
              <w:ind w:firstLine="560"/>
              <w:jc w:val="center"/>
              <w:rPr>
                <w:rFonts w:asciiTheme="majorEastAsia" w:hAnsiTheme="majorEastAsia" w:eastAsiaTheme="majorEastAsia" w:cstheme="majorEastAsia"/>
                <w:spacing w:val="20"/>
              </w:rPr>
            </w:pPr>
          </w:p>
        </w:tc>
        <w:tc>
          <w:tcPr>
            <w:tcW w:w="2880" w:type="dxa"/>
            <w:vAlign w:val="center"/>
          </w:tcPr>
          <w:p>
            <w:pPr>
              <w:snapToGrid w:val="0"/>
              <w:ind w:firstLine="560"/>
              <w:jc w:val="center"/>
              <w:rPr>
                <w:rFonts w:asciiTheme="majorEastAsia" w:hAnsiTheme="majorEastAsia" w:eastAsiaTheme="majorEastAsia" w:cstheme="majorEastAsia"/>
                <w:spacing w:val="20"/>
              </w:rPr>
            </w:pPr>
          </w:p>
        </w:tc>
      </w:tr>
    </w:tbl>
    <w:p>
      <w:pPr>
        <w:spacing w:line="360" w:lineRule="auto"/>
        <w:ind w:firstLine="420"/>
        <w:rPr>
          <w:rFonts w:ascii="宋体" w:hAnsi="宋体" w:cs="宋体"/>
          <w:sz w:val="21"/>
          <w:szCs w:val="21"/>
        </w:rPr>
      </w:pPr>
      <w:r>
        <w:rPr>
          <w:rFonts w:hint="eastAsia" w:asciiTheme="majorEastAsia" w:hAnsiTheme="majorEastAsia" w:eastAsiaTheme="majorEastAsia" w:cstheme="majorEastAsia"/>
          <w:sz w:val="21"/>
          <w:szCs w:val="21"/>
        </w:rPr>
        <w:t>填表说明：1、对采购文件有任何偏离（包括正/负/无偏离）均应汇总并填写在此表中。</w:t>
      </w:r>
    </w:p>
    <w:p>
      <w:pPr>
        <w:snapToGrid w:val="0"/>
        <w:spacing w:line="360" w:lineRule="auto"/>
        <w:ind w:firstLine="1470" w:firstLineChars="700"/>
        <w:rPr>
          <w:rFonts w:ascii="宋体" w:hAnsi="宋体" w:eastAsia="宋体"/>
          <w:bCs/>
          <w:sz w:val="21"/>
          <w:szCs w:val="21"/>
        </w:rPr>
      </w:pPr>
      <w:r>
        <w:rPr>
          <w:rFonts w:hint="eastAsia" w:ascii="宋体" w:hAnsi="宋体" w:eastAsia="宋体"/>
          <w:bCs/>
          <w:sz w:val="21"/>
          <w:szCs w:val="21"/>
        </w:rPr>
        <w:t>2、投标人若不填写，则视为完全响应招标文件要求。</w:t>
      </w:r>
    </w:p>
    <w:p>
      <w:pPr>
        <w:spacing w:line="360" w:lineRule="auto"/>
        <w:ind w:firstLine="420"/>
        <w:rPr>
          <w:rFonts w:ascii="宋体" w:hAnsi="宋体" w:cs="宋体"/>
          <w:sz w:val="21"/>
          <w:szCs w:val="21"/>
        </w:rPr>
      </w:pPr>
    </w:p>
    <w:p>
      <w:pPr>
        <w:spacing w:line="360" w:lineRule="auto"/>
        <w:ind w:firstLine="480"/>
        <w:rPr>
          <w:rFonts w:ascii="宋体" w:hAnsi="宋体" w:cs="宋体"/>
        </w:rPr>
      </w:pPr>
    </w:p>
    <w:p>
      <w:pPr>
        <w:pStyle w:val="19"/>
        <w:adjustRightInd w:val="0"/>
        <w:snapToGrid w:val="0"/>
        <w:spacing w:line="360" w:lineRule="auto"/>
        <w:ind w:firstLine="420"/>
        <w:rPr>
          <w:rFonts w:hAnsi="宋体"/>
        </w:rPr>
      </w:pPr>
      <w:r>
        <w:rPr>
          <w:rFonts w:hint="eastAsia" w:hAnsi="宋体"/>
        </w:rPr>
        <w:t>投标人全称（盖单位公章）：</w:t>
      </w:r>
    </w:p>
    <w:p>
      <w:pPr>
        <w:pStyle w:val="19"/>
        <w:adjustRightInd w:val="0"/>
        <w:snapToGrid w:val="0"/>
        <w:spacing w:line="360" w:lineRule="auto"/>
        <w:ind w:firstLine="420"/>
        <w:rPr>
          <w:rFonts w:hAnsi="宋体"/>
        </w:rPr>
      </w:pPr>
      <w:r>
        <w:rPr>
          <w:rFonts w:hint="eastAsia" w:hAnsi="宋体"/>
        </w:rPr>
        <w:t>法定代表人或其授权委托人（签字或盖章）：</w:t>
      </w:r>
    </w:p>
    <w:p>
      <w:pPr>
        <w:pStyle w:val="19"/>
        <w:adjustRightInd w:val="0"/>
        <w:snapToGrid w:val="0"/>
        <w:spacing w:line="360" w:lineRule="auto"/>
        <w:ind w:firstLine="420"/>
        <w:rPr>
          <w:rFonts w:hAnsi="宋体"/>
        </w:rPr>
      </w:pPr>
      <w:r>
        <w:rPr>
          <w:rFonts w:hint="eastAsia" w:hAnsi="宋体"/>
        </w:rPr>
        <w:t>日期：</w:t>
      </w:r>
    </w:p>
    <w:p>
      <w:pPr>
        <w:ind w:firstLine="480"/>
        <w:rPr>
          <w:rFonts w:ascii="宋体" w:hAnsi="宋体" w:cs="宋体"/>
          <w:szCs w:val="21"/>
        </w:rPr>
      </w:pPr>
    </w:p>
    <w:p>
      <w:pPr>
        <w:ind w:firstLine="480"/>
        <w:rPr>
          <w:rFonts w:ascii="宋体" w:hAnsi="宋体" w:cs="宋体"/>
          <w:szCs w:val="21"/>
        </w:rPr>
      </w:pPr>
    </w:p>
    <w:p>
      <w:pPr>
        <w:pStyle w:val="76"/>
        <w:spacing w:line="240" w:lineRule="auto"/>
        <w:ind w:firstLine="0" w:firstLineChars="0"/>
        <w:jc w:val="center"/>
        <w:rPr>
          <w:rFonts w:ascii="宋体" w:eastAsia="宋体" w:cs="宋体"/>
          <w:b/>
          <w:sz w:val="30"/>
          <w:szCs w:val="30"/>
        </w:rPr>
      </w:pPr>
    </w:p>
    <w:p>
      <w:pPr>
        <w:pStyle w:val="76"/>
        <w:spacing w:line="240" w:lineRule="auto"/>
        <w:ind w:firstLine="0" w:firstLineChars="0"/>
        <w:jc w:val="center"/>
        <w:rPr>
          <w:rFonts w:ascii="宋体" w:eastAsia="宋体" w:cs="宋体"/>
          <w:b/>
          <w:sz w:val="30"/>
          <w:szCs w:val="30"/>
        </w:rPr>
      </w:pPr>
    </w:p>
    <w:p>
      <w:pPr>
        <w:pStyle w:val="76"/>
        <w:spacing w:line="240" w:lineRule="auto"/>
        <w:ind w:firstLine="0" w:firstLineChars="0"/>
        <w:jc w:val="center"/>
        <w:rPr>
          <w:rFonts w:ascii="宋体" w:eastAsia="宋体" w:cs="宋体"/>
          <w:b/>
          <w:sz w:val="30"/>
          <w:szCs w:val="30"/>
        </w:rPr>
      </w:pPr>
    </w:p>
    <w:p>
      <w:pPr>
        <w:pStyle w:val="76"/>
        <w:spacing w:line="240" w:lineRule="auto"/>
        <w:ind w:firstLine="0" w:firstLineChars="0"/>
        <w:jc w:val="center"/>
        <w:rPr>
          <w:rFonts w:ascii="宋体" w:eastAsia="宋体" w:cs="宋体"/>
          <w:b/>
          <w:sz w:val="30"/>
          <w:szCs w:val="30"/>
        </w:rPr>
      </w:pPr>
    </w:p>
    <w:p>
      <w:pPr>
        <w:pStyle w:val="76"/>
        <w:spacing w:line="240" w:lineRule="auto"/>
        <w:ind w:firstLine="0" w:firstLineChars="0"/>
        <w:jc w:val="center"/>
        <w:rPr>
          <w:rFonts w:ascii="宋体" w:eastAsia="宋体" w:cs="宋体"/>
          <w:b/>
          <w:sz w:val="30"/>
          <w:szCs w:val="30"/>
        </w:rPr>
      </w:pPr>
    </w:p>
    <w:p>
      <w:pPr>
        <w:pStyle w:val="76"/>
        <w:spacing w:line="240" w:lineRule="auto"/>
        <w:ind w:firstLine="0" w:firstLineChars="0"/>
        <w:jc w:val="center"/>
        <w:rPr>
          <w:rFonts w:ascii="宋体" w:eastAsia="宋体" w:cs="宋体"/>
          <w:b/>
          <w:sz w:val="30"/>
          <w:szCs w:val="30"/>
        </w:rPr>
      </w:pPr>
    </w:p>
    <w:p>
      <w:pPr>
        <w:pStyle w:val="76"/>
        <w:spacing w:line="240" w:lineRule="auto"/>
        <w:ind w:firstLine="0" w:firstLineChars="0"/>
        <w:jc w:val="center"/>
        <w:rPr>
          <w:rFonts w:ascii="宋体" w:eastAsia="宋体" w:cs="宋体"/>
          <w:b/>
          <w:sz w:val="30"/>
          <w:szCs w:val="30"/>
        </w:rPr>
      </w:pPr>
      <w:r>
        <w:rPr>
          <w:rFonts w:hint="eastAsia" w:ascii="宋体" w:eastAsia="宋体" w:cs="宋体"/>
          <w:b/>
          <w:sz w:val="30"/>
          <w:szCs w:val="30"/>
        </w:rPr>
        <w:t>六、技术支持及服务承诺书</w:t>
      </w:r>
    </w:p>
    <w:p>
      <w:pPr>
        <w:widowControl/>
        <w:ind w:firstLine="600"/>
        <w:jc w:val="center"/>
        <w:textAlignment w:val="baseline"/>
        <w:rPr>
          <w:rFonts w:ascii="宋体" w:hAnsi="宋体" w:cs="宋体"/>
          <w:kern w:val="0"/>
          <w:sz w:val="30"/>
          <w:szCs w:val="30"/>
        </w:rPr>
      </w:pPr>
    </w:p>
    <w:tbl>
      <w:tblPr>
        <w:tblStyle w:val="37"/>
        <w:tblW w:w="0" w:type="auto"/>
        <w:jc w:val="center"/>
        <w:tblLayout w:type="fixed"/>
        <w:tblCellMar>
          <w:top w:w="0" w:type="dxa"/>
          <w:left w:w="0" w:type="dxa"/>
          <w:bottom w:w="0" w:type="dxa"/>
          <w:right w:w="0" w:type="dxa"/>
        </w:tblCellMar>
      </w:tblPr>
      <w:tblGrid>
        <w:gridCol w:w="823"/>
        <w:gridCol w:w="4564"/>
        <w:gridCol w:w="1814"/>
        <w:gridCol w:w="2001"/>
      </w:tblGrid>
      <w:tr>
        <w:tblPrEx>
          <w:tblCellMar>
            <w:top w:w="0" w:type="dxa"/>
            <w:left w:w="0" w:type="dxa"/>
            <w:bottom w:w="0" w:type="dxa"/>
            <w:right w:w="0" w:type="dxa"/>
          </w:tblCellMar>
        </w:tblPrEx>
        <w:trPr>
          <w:cantSplit/>
          <w:trHeight w:val="437" w:hRule="atLeast"/>
          <w:jc w:val="center"/>
        </w:trPr>
        <w:tc>
          <w:tcPr>
            <w:tcW w:w="823" w:type="dxa"/>
            <w:tcBorders>
              <w:top w:val="single" w:color="auto" w:sz="8" w:space="0"/>
              <w:left w:val="single" w:color="auto" w:sz="8" w:space="0"/>
              <w:bottom w:val="single" w:color="auto" w:sz="8" w:space="0"/>
              <w:right w:val="single" w:color="auto" w:sz="8" w:space="0"/>
            </w:tcBorders>
            <w:vAlign w:val="center"/>
          </w:tcPr>
          <w:p>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序号</w:t>
            </w:r>
          </w:p>
        </w:tc>
        <w:tc>
          <w:tcPr>
            <w:tcW w:w="4564" w:type="dxa"/>
            <w:tcBorders>
              <w:top w:val="single" w:color="auto" w:sz="8" w:space="0"/>
              <w:left w:val="nil"/>
              <w:bottom w:val="single" w:color="auto" w:sz="8" w:space="0"/>
              <w:right w:val="single" w:color="auto" w:sz="4" w:space="0"/>
            </w:tcBorders>
            <w:vAlign w:val="center"/>
          </w:tcPr>
          <w:p>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质量保障措施及服务内容</w:t>
            </w:r>
          </w:p>
        </w:tc>
        <w:tc>
          <w:tcPr>
            <w:tcW w:w="1814" w:type="dxa"/>
            <w:tcBorders>
              <w:top w:val="single" w:color="auto" w:sz="8" w:space="0"/>
              <w:left w:val="single" w:color="auto" w:sz="4" w:space="0"/>
              <w:bottom w:val="single" w:color="auto" w:sz="8" w:space="0"/>
              <w:right w:val="single" w:color="auto" w:sz="8" w:space="0"/>
            </w:tcBorders>
            <w:vAlign w:val="center"/>
          </w:tcPr>
          <w:p>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承  诺</w:t>
            </w:r>
          </w:p>
        </w:tc>
        <w:tc>
          <w:tcPr>
            <w:tcW w:w="200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备注</w:t>
            </w:r>
          </w:p>
        </w:tc>
      </w:tr>
      <w:tr>
        <w:tblPrEx>
          <w:tblCellMar>
            <w:top w:w="0" w:type="dxa"/>
            <w:left w:w="0" w:type="dxa"/>
            <w:bottom w:w="0" w:type="dxa"/>
            <w:right w:w="0" w:type="dxa"/>
          </w:tblCellMar>
        </w:tblPrEx>
        <w:trPr>
          <w:cantSplit/>
          <w:trHeight w:val="400" w:hRule="atLeast"/>
          <w:jc w:val="center"/>
        </w:trPr>
        <w:tc>
          <w:tcPr>
            <w:tcW w:w="823" w:type="dxa"/>
            <w:tcBorders>
              <w:top w:val="nil"/>
              <w:left w:val="single" w:color="auto" w:sz="8" w:space="0"/>
              <w:bottom w:val="single" w:color="auto" w:sz="8" w:space="0"/>
              <w:right w:val="single" w:color="auto" w:sz="8" w:space="0"/>
            </w:tcBorders>
            <w:vAlign w:val="center"/>
          </w:tcPr>
          <w:p>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1</w:t>
            </w:r>
          </w:p>
        </w:tc>
        <w:tc>
          <w:tcPr>
            <w:tcW w:w="4564" w:type="dxa"/>
            <w:tcBorders>
              <w:top w:val="nil"/>
              <w:left w:val="nil"/>
              <w:bottom w:val="single" w:color="auto" w:sz="8" w:space="0"/>
              <w:right w:val="single" w:color="auto" w:sz="4" w:space="0"/>
            </w:tcBorders>
            <w:vAlign w:val="center"/>
          </w:tcPr>
          <w:p>
            <w:pPr>
              <w:widowControl/>
              <w:ind w:firstLine="0" w:firstLineChars="0"/>
              <w:textAlignment w:val="baseline"/>
              <w:rPr>
                <w:rFonts w:ascii="宋体" w:hAnsi="宋体" w:eastAsia="宋体" w:cs="宋体"/>
                <w:sz w:val="21"/>
                <w:szCs w:val="21"/>
              </w:rPr>
            </w:pPr>
            <w:r>
              <w:rPr>
                <w:rFonts w:hint="eastAsia" w:ascii="宋体" w:hAnsi="宋体" w:eastAsia="宋体" w:cs="宋体"/>
                <w:sz w:val="21"/>
                <w:szCs w:val="21"/>
              </w:rPr>
              <w:t>保修时间及保修范围</w:t>
            </w:r>
          </w:p>
        </w:tc>
        <w:tc>
          <w:tcPr>
            <w:tcW w:w="1814" w:type="dxa"/>
            <w:tcBorders>
              <w:top w:val="nil"/>
              <w:left w:val="single" w:color="auto" w:sz="4" w:space="0"/>
              <w:bottom w:val="single" w:color="auto" w:sz="8" w:space="0"/>
              <w:right w:val="single" w:color="auto" w:sz="8" w:space="0"/>
            </w:tcBorders>
            <w:vAlign w:val="center"/>
          </w:tcPr>
          <w:p>
            <w:pPr>
              <w:widowControl/>
              <w:ind w:firstLine="0" w:firstLineChars="0"/>
              <w:jc w:val="center"/>
              <w:rPr>
                <w:rFonts w:ascii="宋体" w:hAnsi="宋体" w:eastAsia="宋体" w:cs="宋体"/>
                <w:sz w:val="21"/>
                <w:szCs w:val="21"/>
              </w:rPr>
            </w:pPr>
          </w:p>
        </w:tc>
        <w:tc>
          <w:tcPr>
            <w:tcW w:w="20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0" w:firstLineChars="0"/>
              <w:jc w:val="center"/>
              <w:rPr>
                <w:rFonts w:ascii="宋体" w:hAnsi="宋体" w:eastAsia="宋体" w:cs="宋体"/>
                <w:sz w:val="21"/>
                <w:szCs w:val="21"/>
              </w:rPr>
            </w:pPr>
          </w:p>
        </w:tc>
      </w:tr>
      <w:tr>
        <w:tblPrEx>
          <w:tblCellMar>
            <w:top w:w="0" w:type="dxa"/>
            <w:left w:w="0" w:type="dxa"/>
            <w:bottom w:w="0" w:type="dxa"/>
            <w:right w:w="0" w:type="dxa"/>
          </w:tblCellMar>
        </w:tblPrEx>
        <w:trPr>
          <w:cantSplit/>
          <w:trHeight w:val="535" w:hRule="atLeast"/>
          <w:jc w:val="center"/>
        </w:trPr>
        <w:tc>
          <w:tcPr>
            <w:tcW w:w="823" w:type="dxa"/>
            <w:tcBorders>
              <w:top w:val="nil"/>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2</w:t>
            </w:r>
          </w:p>
        </w:tc>
        <w:tc>
          <w:tcPr>
            <w:tcW w:w="4564" w:type="dxa"/>
            <w:tcBorders>
              <w:top w:val="nil"/>
              <w:left w:val="nil"/>
              <w:bottom w:val="single" w:color="auto" w:sz="8" w:space="0"/>
              <w:right w:val="single" w:color="auto" w:sz="4" w:space="0"/>
            </w:tcBorders>
            <w:vAlign w:val="center"/>
          </w:tcPr>
          <w:p>
            <w:pPr>
              <w:widowControl/>
              <w:spacing w:line="240" w:lineRule="auto"/>
              <w:ind w:firstLine="0" w:firstLineChars="0"/>
              <w:jc w:val="both"/>
              <w:rPr>
                <w:rFonts w:ascii="宋体" w:hAnsi="宋体" w:eastAsia="宋体" w:cs="宋体"/>
                <w:sz w:val="21"/>
                <w:szCs w:val="21"/>
              </w:rPr>
            </w:pPr>
            <w:r>
              <w:rPr>
                <w:rFonts w:hint="eastAsia" w:ascii="宋体" w:hAnsi="宋体" w:eastAsia="宋体" w:cs="宋体"/>
                <w:sz w:val="21"/>
                <w:szCs w:val="21"/>
              </w:rPr>
              <w:t>有关技术人员现场免费指导安装、调试服务</w:t>
            </w:r>
          </w:p>
        </w:tc>
        <w:tc>
          <w:tcPr>
            <w:tcW w:w="1814" w:type="dxa"/>
            <w:tcBorders>
              <w:top w:val="nil"/>
              <w:left w:val="single" w:color="auto" w:sz="4" w:space="0"/>
              <w:bottom w:val="single" w:color="auto" w:sz="8" w:space="0"/>
              <w:right w:val="single" w:color="auto" w:sz="8" w:space="0"/>
            </w:tcBorders>
            <w:vAlign w:val="center"/>
          </w:tcPr>
          <w:p>
            <w:pPr>
              <w:widowControl/>
              <w:ind w:firstLine="0" w:firstLineChars="0"/>
              <w:jc w:val="center"/>
              <w:rPr>
                <w:rFonts w:ascii="宋体" w:hAnsi="宋体" w:eastAsia="宋体" w:cs="宋体"/>
                <w:sz w:val="21"/>
                <w:szCs w:val="21"/>
              </w:rPr>
            </w:pPr>
          </w:p>
        </w:tc>
        <w:tc>
          <w:tcPr>
            <w:tcW w:w="20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0" w:firstLineChars="0"/>
              <w:jc w:val="center"/>
              <w:rPr>
                <w:rFonts w:ascii="宋体" w:hAnsi="宋体" w:eastAsia="宋体" w:cs="宋体"/>
                <w:sz w:val="21"/>
                <w:szCs w:val="21"/>
              </w:rPr>
            </w:pPr>
          </w:p>
        </w:tc>
      </w:tr>
      <w:tr>
        <w:tblPrEx>
          <w:tblCellMar>
            <w:top w:w="0" w:type="dxa"/>
            <w:left w:w="0" w:type="dxa"/>
            <w:bottom w:w="0" w:type="dxa"/>
            <w:right w:w="0" w:type="dxa"/>
          </w:tblCellMar>
        </w:tblPrEx>
        <w:trPr>
          <w:cantSplit/>
          <w:trHeight w:val="400" w:hRule="atLeast"/>
          <w:jc w:val="center"/>
        </w:trPr>
        <w:tc>
          <w:tcPr>
            <w:tcW w:w="823" w:type="dxa"/>
            <w:tcBorders>
              <w:top w:val="nil"/>
              <w:left w:val="single" w:color="auto" w:sz="8" w:space="0"/>
              <w:bottom w:val="single" w:color="auto" w:sz="8" w:space="0"/>
              <w:right w:val="single" w:color="auto" w:sz="8" w:space="0"/>
            </w:tcBorders>
            <w:vAlign w:val="center"/>
          </w:tcPr>
          <w:p>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3</w:t>
            </w:r>
          </w:p>
        </w:tc>
        <w:tc>
          <w:tcPr>
            <w:tcW w:w="4564" w:type="dxa"/>
            <w:tcBorders>
              <w:top w:val="nil"/>
              <w:left w:val="nil"/>
              <w:bottom w:val="single" w:color="auto" w:sz="8" w:space="0"/>
              <w:right w:val="single" w:color="auto" w:sz="4" w:space="0"/>
            </w:tcBorders>
            <w:vAlign w:val="center"/>
          </w:tcPr>
          <w:p>
            <w:pPr>
              <w:widowControl/>
              <w:ind w:firstLine="0" w:firstLineChars="0"/>
              <w:rPr>
                <w:rFonts w:ascii="宋体" w:hAnsi="宋体" w:eastAsia="宋体" w:cs="宋体"/>
                <w:sz w:val="21"/>
                <w:szCs w:val="21"/>
              </w:rPr>
            </w:pPr>
            <w:r>
              <w:rPr>
                <w:rFonts w:hint="eastAsia" w:ascii="宋体" w:hAnsi="宋体" w:eastAsia="宋体" w:cs="宋体"/>
                <w:sz w:val="21"/>
                <w:szCs w:val="21"/>
              </w:rPr>
              <w:t>免费换货期限</w:t>
            </w:r>
          </w:p>
        </w:tc>
        <w:tc>
          <w:tcPr>
            <w:tcW w:w="1814" w:type="dxa"/>
            <w:tcBorders>
              <w:top w:val="nil"/>
              <w:left w:val="single" w:color="auto" w:sz="4" w:space="0"/>
              <w:bottom w:val="single" w:color="auto" w:sz="8" w:space="0"/>
              <w:right w:val="single" w:color="auto" w:sz="8" w:space="0"/>
            </w:tcBorders>
            <w:vAlign w:val="center"/>
          </w:tcPr>
          <w:p>
            <w:pPr>
              <w:widowControl/>
              <w:ind w:firstLine="0" w:firstLineChars="0"/>
              <w:jc w:val="center"/>
              <w:rPr>
                <w:rFonts w:ascii="宋体" w:hAnsi="宋体" w:eastAsia="宋体" w:cs="宋体"/>
                <w:sz w:val="21"/>
                <w:szCs w:val="21"/>
              </w:rPr>
            </w:pPr>
          </w:p>
        </w:tc>
        <w:tc>
          <w:tcPr>
            <w:tcW w:w="20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0" w:firstLineChars="0"/>
              <w:jc w:val="center"/>
              <w:rPr>
                <w:rFonts w:ascii="宋体" w:hAnsi="宋体" w:eastAsia="宋体" w:cs="宋体"/>
                <w:sz w:val="21"/>
                <w:szCs w:val="21"/>
              </w:rPr>
            </w:pPr>
          </w:p>
        </w:tc>
      </w:tr>
      <w:tr>
        <w:tblPrEx>
          <w:tblCellMar>
            <w:top w:w="0" w:type="dxa"/>
            <w:left w:w="0" w:type="dxa"/>
            <w:bottom w:w="0" w:type="dxa"/>
            <w:right w:w="0" w:type="dxa"/>
          </w:tblCellMar>
        </w:tblPrEx>
        <w:trPr>
          <w:cantSplit/>
          <w:trHeight w:val="490" w:hRule="atLeast"/>
          <w:jc w:val="center"/>
        </w:trPr>
        <w:tc>
          <w:tcPr>
            <w:tcW w:w="823" w:type="dxa"/>
            <w:tcBorders>
              <w:top w:val="nil"/>
              <w:left w:val="single" w:color="auto" w:sz="8" w:space="0"/>
              <w:bottom w:val="single" w:color="auto" w:sz="8" w:space="0"/>
              <w:right w:val="single" w:color="auto" w:sz="8" w:space="0"/>
            </w:tcBorders>
            <w:vAlign w:val="center"/>
          </w:tcPr>
          <w:p>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4</w:t>
            </w:r>
          </w:p>
        </w:tc>
        <w:tc>
          <w:tcPr>
            <w:tcW w:w="4564" w:type="dxa"/>
            <w:tcBorders>
              <w:top w:val="nil"/>
              <w:left w:val="nil"/>
              <w:bottom w:val="single" w:color="auto" w:sz="8" w:space="0"/>
              <w:right w:val="single" w:color="auto" w:sz="4" w:space="0"/>
            </w:tcBorders>
            <w:vAlign w:val="center"/>
          </w:tcPr>
          <w:p>
            <w:pPr>
              <w:widowControl/>
              <w:ind w:firstLine="0" w:firstLineChars="0"/>
              <w:rPr>
                <w:rFonts w:ascii="宋体" w:hAnsi="宋体" w:eastAsia="宋体" w:cs="宋体"/>
                <w:sz w:val="21"/>
                <w:szCs w:val="21"/>
              </w:rPr>
            </w:pPr>
            <w:r>
              <w:rPr>
                <w:rFonts w:hint="eastAsia" w:ascii="宋体" w:hAnsi="宋体" w:eastAsia="宋体" w:cs="宋体"/>
                <w:sz w:val="21"/>
                <w:szCs w:val="21"/>
              </w:rPr>
              <w:t>免费上门服务期限</w:t>
            </w:r>
          </w:p>
        </w:tc>
        <w:tc>
          <w:tcPr>
            <w:tcW w:w="1814" w:type="dxa"/>
            <w:tcBorders>
              <w:top w:val="nil"/>
              <w:left w:val="single" w:color="auto" w:sz="4" w:space="0"/>
              <w:bottom w:val="single" w:color="auto" w:sz="8" w:space="0"/>
              <w:right w:val="single" w:color="auto" w:sz="8" w:space="0"/>
            </w:tcBorders>
            <w:vAlign w:val="center"/>
          </w:tcPr>
          <w:p>
            <w:pPr>
              <w:widowControl/>
              <w:ind w:firstLine="0" w:firstLineChars="0"/>
              <w:jc w:val="center"/>
              <w:rPr>
                <w:rFonts w:ascii="宋体" w:hAnsi="宋体" w:eastAsia="宋体" w:cs="宋体"/>
                <w:sz w:val="21"/>
                <w:szCs w:val="21"/>
              </w:rPr>
            </w:pPr>
          </w:p>
        </w:tc>
        <w:tc>
          <w:tcPr>
            <w:tcW w:w="20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0" w:firstLineChars="0"/>
              <w:jc w:val="center"/>
              <w:rPr>
                <w:rFonts w:ascii="宋体" w:hAnsi="宋体" w:eastAsia="宋体" w:cs="宋体"/>
                <w:sz w:val="21"/>
                <w:szCs w:val="21"/>
              </w:rPr>
            </w:pPr>
          </w:p>
        </w:tc>
      </w:tr>
      <w:tr>
        <w:tblPrEx>
          <w:tblCellMar>
            <w:top w:w="0" w:type="dxa"/>
            <w:left w:w="0" w:type="dxa"/>
            <w:bottom w:w="0" w:type="dxa"/>
            <w:right w:w="0" w:type="dxa"/>
          </w:tblCellMar>
        </w:tblPrEx>
        <w:trPr>
          <w:cantSplit/>
          <w:trHeight w:val="385" w:hRule="atLeast"/>
          <w:jc w:val="center"/>
        </w:trPr>
        <w:tc>
          <w:tcPr>
            <w:tcW w:w="823" w:type="dxa"/>
            <w:tcBorders>
              <w:top w:val="nil"/>
              <w:left w:val="single" w:color="auto" w:sz="8" w:space="0"/>
              <w:bottom w:val="single" w:color="auto" w:sz="8" w:space="0"/>
              <w:right w:val="single" w:color="auto" w:sz="8" w:space="0"/>
            </w:tcBorders>
            <w:vAlign w:val="center"/>
          </w:tcPr>
          <w:p>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5</w:t>
            </w:r>
          </w:p>
        </w:tc>
        <w:tc>
          <w:tcPr>
            <w:tcW w:w="4564" w:type="dxa"/>
            <w:tcBorders>
              <w:top w:val="nil"/>
              <w:left w:val="nil"/>
              <w:bottom w:val="single" w:color="auto" w:sz="8" w:space="0"/>
              <w:right w:val="single" w:color="auto" w:sz="4" w:space="0"/>
            </w:tcBorders>
            <w:vAlign w:val="center"/>
          </w:tcPr>
          <w:p>
            <w:pPr>
              <w:widowControl/>
              <w:ind w:firstLine="0" w:firstLineChars="0"/>
              <w:rPr>
                <w:rFonts w:ascii="宋体" w:hAnsi="宋体" w:eastAsia="宋体" w:cs="宋体"/>
                <w:sz w:val="21"/>
                <w:szCs w:val="21"/>
              </w:rPr>
            </w:pPr>
            <w:r>
              <w:rPr>
                <w:rFonts w:hint="eastAsia" w:ascii="宋体" w:hAnsi="宋体" w:eastAsia="宋体" w:cs="宋体"/>
                <w:sz w:val="21"/>
                <w:szCs w:val="21"/>
              </w:rPr>
              <w:t>质保期内产品故障服务响应时限</w:t>
            </w:r>
          </w:p>
        </w:tc>
        <w:tc>
          <w:tcPr>
            <w:tcW w:w="1814" w:type="dxa"/>
            <w:tcBorders>
              <w:top w:val="nil"/>
              <w:left w:val="single" w:color="auto" w:sz="4" w:space="0"/>
              <w:bottom w:val="single" w:color="auto" w:sz="8" w:space="0"/>
              <w:right w:val="single" w:color="auto" w:sz="8" w:space="0"/>
            </w:tcBorders>
            <w:vAlign w:val="center"/>
          </w:tcPr>
          <w:p>
            <w:pPr>
              <w:widowControl/>
              <w:ind w:firstLine="0" w:firstLineChars="0"/>
              <w:jc w:val="center"/>
              <w:rPr>
                <w:rFonts w:ascii="宋体" w:hAnsi="宋体" w:eastAsia="宋体" w:cs="宋体"/>
                <w:sz w:val="21"/>
                <w:szCs w:val="21"/>
              </w:rPr>
            </w:pPr>
          </w:p>
        </w:tc>
        <w:tc>
          <w:tcPr>
            <w:tcW w:w="200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0" w:firstLineChars="0"/>
              <w:jc w:val="center"/>
              <w:rPr>
                <w:rFonts w:ascii="宋体" w:hAnsi="宋体" w:eastAsia="宋体" w:cs="宋体"/>
                <w:sz w:val="21"/>
                <w:szCs w:val="21"/>
              </w:rPr>
            </w:pPr>
          </w:p>
        </w:tc>
      </w:tr>
      <w:tr>
        <w:tblPrEx>
          <w:tblCellMar>
            <w:top w:w="0" w:type="dxa"/>
            <w:left w:w="0" w:type="dxa"/>
            <w:bottom w:w="0" w:type="dxa"/>
            <w:right w:w="0" w:type="dxa"/>
          </w:tblCellMar>
        </w:tblPrEx>
        <w:trPr>
          <w:cantSplit/>
          <w:trHeight w:val="410" w:hRule="atLeast"/>
          <w:jc w:val="center"/>
        </w:trPr>
        <w:tc>
          <w:tcPr>
            <w:tcW w:w="823" w:type="dxa"/>
            <w:tcBorders>
              <w:top w:val="nil"/>
              <w:left w:val="single" w:color="auto" w:sz="8" w:space="0"/>
              <w:bottom w:val="single" w:color="auto" w:sz="4" w:space="0"/>
              <w:right w:val="single" w:color="auto" w:sz="8" w:space="0"/>
            </w:tcBorders>
            <w:vAlign w:val="center"/>
          </w:tcPr>
          <w:p>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6</w:t>
            </w:r>
          </w:p>
        </w:tc>
        <w:tc>
          <w:tcPr>
            <w:tcW w:w="4564" w:type="dxa"/>
            <w:tcBorders>
              <w:top w:val="nil"/>
              <w:left w:val="nil"/>
              <w:bottom w:val="single" w:color="auto" w:sz="4" w:space="0"/>
              <w:right w:val="single" w:color="auto" w:sz="4" w:space="0"/>
            </w:tcBorders>
            <w:vAlign w:val="center"/>
          </w:tcPr>
          <w:p>
            <w:pPr>
              <w:widowControl/>
              <w:ind w:firstLine="0" w:firstLineChars="0"/>
              <w:rPr>
                <w:rFonts w:ascii="宋体" w:hAnsi="宋体" w:eastAsia="宋体" w:cs="宋体"/>
                <w:sz w:val="21"/>
                <w:szCs w:val="21"/>
              </w:rPr>
            </w:pPr>
            <w:r>
              <w:rPr>
                <w:rFonts w:hint="eastAsia" w:ascii="宋体" w:hAnsi="宋体" w:eastAsia="宋体" w:cs="宋体"/>
                <w:sz w:val="21"/>
                <w:szCs w:val="21"/>
              </w:rPr>
              <w:t>质保期满后的保修服务费用</w:t>
            </w:r>
          </w:p>
        </w:tc>
        <w:tc>
          <w:tcPr>
            <w:tcW w:w="1814" w:type="dxa"/>
            <w:tcBorders>
              <w:top w:val="nil"/>
              <w:left w:val="single" w:color="auto" w:sz="4" w:space="0"/>
              <w:bottom w:val="single" w:color="auto" w:sz="4" w:space="0"/>
              <w:right w:val="single" w:color="auto" w:sz="8" w:space="0"/>
            </w:tcBorders>
            <w:vAlign w:val="center"/>
          </w:tcPr>
          <w:p>
            <w:pPr>
              <w:widowControl/>
              <w:ind w:firstLine="0" w:firstLineChars="0"/>
              <w:jc w:val="center"/>
              <w:rPr>
                <w:rFonts w:ascii="宋体" w:hAnsi="宋体" w:eastAsia="宋体" w:cs="宋体"/>
                <w:sz w:val="21"/>
                <w:szCs w:val="21"/>
              </w:rPr>
            </w:pPr>
          </w:p>
        </w:tc>
        <w:tc>
          <w:tcPr>
            <w:tcW w:w="2001"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ind w:firstLine="0" w:firstLineChars="0"/>
              <w:jc w:val="center"/>
              <w:rPr>
                <w:rFonts w:ascii="宋体" w:hAnsi="宋体" w:eastAsia="宋体" w:cs="宋体"/>
                <w:sz w:val="21"/>
                <w:szCs w:val="21"/>
              </w:rPr>
            </w:pPr>
          </w:p>
        </w:tc>
      </w:tr>
      <w:tr>
        <w:tblPrEx>
          <w:tblCellMar>
            <w:top w:w="0" w:type="dxa"/>
            <w:left w:w="0" w:type="dxa"/>
            <w:bottom w:w="0" w:type="dxa"/>
            <w:right w:w="0" w:type="dxa"/>
          </w:tblCellMar>
        </w:tblPrEx>
        <w:trPr>
          <w:cantSplit/>
          <w:trHeight w:val="390" w:hRule="atLeast"/>
          <w:jc w:val="center"/>
        </w:trPr>
        <w:tc>
          <w:tcPr>
            <w:tcW w:w="823" w:type="dxa"/>
            <w:tcBorders>
              <w:top w:val="single" w:color="auto" w:sz="4" w:space="0"/>
              <w:left w:val="single" w:color="auto" w:sz="8" w:space="0"/>
              <w:bottom w:val="single" w:color="auto" w:sz="4" w:space="0"/>
              <w:right w:val="single" w:color="auto" w:sz="8" w:space="0"/>
            </w:tcBorders>
            <w:vAlign w:val="center"/>
          </w:tcPr>
          <w:p>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7</w:t>
            </w:r>
          </w:p>
        </w:tc>
        <w:tc>
          <w:tcPr>
            <w:tcW w:w="4564" w:type="dxa"/>
            <w:tcBorders>
              <w:top w:val="single" w:color="auto" w:sz="4" w:space="0"/>
              <w:left w:val="nil"/>
              <w:bottom w:val="single" w:color="auto" w:sz="4" w:space="0"/>
              <w:right w:val="single" w:color="auto" w:sz="4" w:space="0"/>
            </w:tcBorders>
            <w:vAlign w:val="center"/>
          </w:tcPr>
          <w:p>
            <w:pPr>
              <w:widowControl/>
              <w:ind w:firstLine="0" w:firstLineChars="0"/>
              <w:rPr>
                <w:rFonts w:ascii="宋体" w:hAnsi="宋体" w:eastAsia="宋体" w:cs="宋体"/>
                <w:sz w:val="21"/>
                <w:szCs w:val="21"/>
              </w:rPr>
            </w:pPr>
            <w:r>
              <w:rPr>
                <w:rFonts w:hint="eastAsia" w:ascii="宋体" w:hAnsi="宋体" w:eastAsia="宋体" w:cs="宋体"/>
                <w:sz w:val="21"/>
                <w:szCs w:val="21"/>
              </w:rPr>
              <w:t>交货时间</w:t>
            </w:r>
          </w:p>
        </w:tc>
        <w:tc>
          <w:tcPr>
            <w:tcW w:w="1814" w:type="dxa"/>
            <w:tcBorders>
              <w:top w:val="single" w:color="auto" w:sz="4" w:space="0"/>
              <w:left w:val="single" w:color="auto" w:sz="4" w:space="0"/>
              <w:bottom w:val="single" w:color="auto" w:sz="4" w:space="0"/>
              <w:right w:val="single" w:color="auto" w:sz="8" w:space="0"/>
            </w:tcBorders>
            <w:vAlign w:val="center"/>
          </w:tcPr>
          <w:p>
            <w:pPr>
              <w:widowControl/>
              <w:ind w:firstLine="0" w:firstLineChars="0"/>
              <w:jc w:val="center"/>
              <w:rPr>
                <w:rFonts w:ascii="宋体" w:hAnsi="宋体" w:eastAsia="宋体" w:cs="宋体"/>
                <w:sz w:val="21"/>
                <w:szCs w:val="21"/>
              </w:rPr>
            </w:pPr>
          </w:p>
        </w:tc>
        <w:tc>
          <w:tcPr>
            <w:tcW w:w="2001"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ind w:firstLine="0" w:firstLineChars="0"/>
              <w:jc w:val="center"/>
              <w:rPr>
                <w:rFonts w:ascii="宋体" w:hAnsi="宋体" w:eastAsia="宋体" w:cs="宋体"/>
                <w:sz w:val="21"/>
                <w:szCs w:val="21"/>
              </w:rPr>
            </w:pPr>
          </w:p>
        </w:tc>
      </w:tr>
      <w:tr>
        <w:tblPrEx>
          <w:tblCellMar>
            <w:top w:w="0" w:type="dxa"/>
            <w:left w:w="0" w:type="dxa"/>
            <w:bottom w:w="0" w:type="dxa"/>
            <w:right w:w="0" w:type="dxa"/>
          </w:tblCellMar>
        </w:tblPrEx>
        <w:trPr>
          <w:cantSplit/>
          <w:trHeight w:val="315" w:hRule="atLeast"/>
          <w:jc w:val="center"/>
        </w:trPr>
        <w:tc>
          <w:tcPr>
            <w:tcW w:w="823" w:type="dxa"/>
            <w:tcBorders>
              <w:top w:val="single" w:color="auto" w:sz="4" w:space="0"/>
              <w:left w:val="single" w:color="auto" w:sz="8" w:space="0"/>
              <w:bottom w:val="single" w:color="auto" w:sz="4" w:space="0"/>
              <w:right w:val="single" w:color="auto" w:sz="8" w:space="0"/>
            </w:tcBorders>
            <w:vAlign w:val="center"/>
          </w:tcPr>
          <w:p>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8</w:t>
            </w:r>
          </w:p>
        </w:tc>
        <w:tc>
          <w:tcPr>
            <w:tcW w:w="4564" w:type="dxa"/>
            <w:tcBorders>
              <w:top w:val="single" w:color="auto" w:sz="4" w:space="0"/>
              <w:left w:val="nil"/>
              <w:bottom w:val="single" w:color="auto" w:sz="4" w:space="0"/>
              <w:right w:val="single" w:color="auto" w:sz="4" w:space="0"/>
            </w:tcBorders>
            <w:vAlign w:val="center"/>
          </w:tcPr>
          <w:p>
            <w:pPr>
              <w:widowControl/>
              <w:ind w:firstLine="0" w:firstLineChars="0"/>
              <w:rPr>
                <w:rFonts w:ascii="宋体" w:hAnsi="宋体" w:eastAsia="宋体" w:cs="宋体"/>
                <w:sz w:val="21"/>
                <w:szCs w:val="21"/>
              </w:rPr>
            </w:pPr>
            <w:r>
              <w:rPr>
                <w:rFonts w:hint="eastAsia" w:ascii="宋体" w:hAnsi="宋体" w:eastAsia="宋体" w:cs="宋体"/>
                <w:sz w:val="21"/>
                <w:szCs w:val="21"/>
              </w:rPr>
              <w:t>是否有提供备品备件</w:t>
            </w:r>
          </w:p>
        </w:tc>
        <w:tc>
          <w:tcPr>
            <w:tcW w:w="1814" w:type="dxa"/>
            <w:tcBorders>
              <w:top w:val="single" w:color="auto" w:sz="4" w:space="0"/>
              <w:left w:val="single" w:color="auto" w:sz="4" w:space="0"/>
              <w:bottom w:val="single" w:color="auto" w:sz="4" w:space="0"/>
              <w:right w:val="single" w:color="auto" w:sz="8" w:space="0"/>
            </w:tcBorders>
            <w:vAlign w:val="center"/>
          </w:tcPr>
          <w:p>
            <w:pPr>
              <w:widowControl/>
              <w:ind w:firstLine="0" w:firstLineChars="0"/>
              <w:jc w:val="center"/>
              <w:rPr>
                <w:rFonts w:ascii="宋体" w:hAnsi="宋体" w:eastAsia="宋体" w:cs="宋体"/>
                <w:sz w:val="21"/>
                <w:szCs w:val="21"/>
              </w:rPr>
            </w:pPr>
          </w:p>
        </w:tc>
        <w:tc>
          <w:tcPr>
            <w:tcW w:w="2001"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ind w:firstLine="0" w:firstLineChars="0"/>
              <w:jc w:val="center"/>
              <w:rPr>
                <w:rFonts w:ascii="宋体" w:hAnsi="宋体" w:eastAsia="宋体" w:cs="宋体"/>
                <w:sz w:val="21"/>
                <w:szCs w:val="21"/>
              </w:rPr>
            </w:pPr>
          </w:p>
        </w:tc>
      </w:tr>
      <w:tr>
        <w:tblPrEx>
          <w:tblCellMar>
            <w:top w:w="0" w:type="dxa"/>
            <w:left w:w="0" w:type="dxa"/>
            <w:bottom w:w="0" w:type="dxa"/>
            <w:right w:w="0" w:type="dxa"/>
          </w:tblCellMar>
        </w:tblPrEx>
        <w:trPr>
          <w:cantSplit/>
          <w:trHeight w:val="345" w:hRule="atLeast"/>
          <w:jc w:val="center"/>
        </w:trPr>
        <w:tc>
          <w:tcPr>
            <w:tcW w:w="823" w:type="dxa"/>
            <w:tcBorders>
              <w:top w:val="single" w:color="auto" w:sz="4" w:space="0"/>
              <w:left w:val="single" w:color="auto" w:sz="8" w:space="0"/>
              <w:bottom w:val="single" w:color="auto" w:sz="4" w:space="0"/>
              <w:right w:val="single" w:color="auto" w:sz="8" w:space="0"/>
            </w:tcBorders>
            <w:vAlign w:val="center"/>
          </w:tcPr>
          <w:p>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9</w:t>
            </w:r>
          </w:p>
        </w:tc>
        <w:tc>
          <w:tcPr>
            <w:tcW w:w="4564" w:type="dxa"/>
            <w:tcBorders>
              <w:top w:val="single" w:color="auto" w:sz="4" w:space="0"/>
              <w:left w:val="nil"/>
              <w:bottom w:val="single" w:color="auto" w:sz="4" w:space="0"/>
              <w:right w:val="single" w:color="auto" w:sz="4" w:space="0"/>
            </w:tcBorders>
            <w:vAlign w:val="center"/>
          </w:tcPr>
          <w:p>
            <w:pPr>
              <w:widowControl/>
              <w:ind w:firstLine="0" w:firstLineChars="0"/>
              <w:rPr>
                <w:rFonts w:ascii="宋体" w:hAnsi="宋体" w:eastAsia="宋体" w:cs="宋体"/>
                <w:sz w:val="21"/>
                <w:szCs w:val="21"/>
              </w:rPr>
            </w:pPr>
            <w:r>
              <w:rPr>
                <w:rFonts w:hint="eastAsia" w:ascii="宋体" w:hAnsi="宋体" w:eastAsia="宋体" w:cs="宋体"/>
                <w:sz w:val="21"/>
                <w:szCs w:val="21"/>
              </w:rPr>
              <w:t>是否有质保期外的服务承诺</w:t>
            </w:r>
          </w:p>
        </w:tc>
        <w:tc>
          <w:tcPr>
            <w:tcW w:w="1814" w:type="dxa"/>
            <w:tcBorders>
              <w:top w:val="single" w:color="auto" w:sz="4" w:space="0"/>
              <w:left w:val="single" w:color="auto" w:sz="4" w:space="0"/>
              <w:bottom w:val="single" w:color="auto" w:sz="4" w:space="0"/>
              <w:right w:val="single" w:color="auto" w:sz="8" w:space="0"/>
            </w:tcBorders>
            <w:vAlign w:val="center"/>
          </w:tcPr>
          <w:p>
            <w:pPr>
              <w:widowControl/>
              <w:ind w:firstLine="0" w:firstLineChars="0"/>
              <w:jc w:val="center"/>
              <w:rPr>
                <w:rFonts w:ascii="宋体" w:hAnsi="宋体" w:eastAsia="宋体" w:cs="宋体"/>
                <w:sz w:val="21"/>
                <w:szCs w:val="21"/>
              </w:rPr>
            </w:pPr>
          </w:p>
        </w:tc>
        <w:tc>
          <w:tcPr>
            <w:tcW w:w="2001"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ind w:firstLine="0" w:firstLineChars="0"/>
              <w:jc w:val="center"/>
              <w:rPr>
                <w:rFonts w:ascii="宋体" w:hAnsi="宋体" w:eastAsia="宋体" w:cs="宋体"/>
                <w:sz w:val="21"/>
                <w:szCs w:val="21"/>
              </w:rPr>
            </w:pPr>
          </w:p>
        </w:tc>
      </w:tr>
      <w:tr>
        <w:tblPrEx>
          <w:tblCellMar>
            <w:top w:w="0" w:type="dxa"/>
            <w:left w:w="0" w:type="dxa"/>
            <w:bottom w:w="0" w:type="dxa"/>
            <w:right w:w="0" w:type="dxa"/>
          </w:tblCellMar>
        </w:tblPrEx>
        <w:trPr>
          <w:cantSplit/>
          <w:trHeight w:val="405" w:hRule="atLeast"/>
          <w:jc w:val="center"/>
        </w:trPr>
        <w:tc>
          <w:tcPr>
            <w:tcW w:w="823" w:type="dxa"/>
            <w:tcBorders>
              <w:top w:val="single" w:color="auto" w:sz="4" w:space="0"/>
              <w:left w:val="single" w:color="auto" w:sz="8" w:space="0"/>
              <w:bottom w:val="single" w:color="auto" w:sz="4" w:space="0"/>
              <w:right w:val="single" w:color="auto" w:sz="8" w:space="0"/>
            </w:tcBorders>
            <w:vAlign w:val="center"/>
          </w:tcPr>
          <w:p>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10</w:t>
            </w:r>
          </w:p>
        </w:tc>
        <w:tc>
          <w:tcPr>
            <w:tcW w:w="4564" w:type="dxa"/>
            <w:tcBorders>
              <w:top w:val="single" w:color="auto" w:sz="4" w:space="0"/>
              <w:left w:val="nil"/>
              <w:bottom w:val="single" w:color="auto" w:sz="4" w:space="0"/>
              <w:right w:val="single" w:color="auto" w:sz="4" w:space="0"/>
            </w:tcBorders>
            <w:vAlign w:val="center"/>
          </w:tcPr>
          <w:p>
            <w:pPr>
              <w:widowControl/>
              <w:ind w:firstLine="0" w:firstLineChars="0"/>
              <w:rPr>
                <w:rFonts w:ascii="宋体" w:hAnsi="宋体" w:eastAsia="宋体" w:cs="宋体"/>
                <w:sz w:val="21"/>
                <w:szCs w:val="21"/>
              </w:rPr>
            </w:pPr>
            <w:r>
              <w:rPr>
                <w:rFonts w:hint="eastAsia" w:ascii="宋体" w:hAnsi="宋体" w:eastAsia="宋体" w:cs="宋体"/>
                <w:sz w:val="21"/>
                <w:szCs w:val="21"/>
              </w:rPr>
              <w:t>货物品牌是否原装正品</w:t>
            </w:r>
          </w:p>
        </w:tc>
        <w:tc>
          <w:tcPr>
            <w:tcW w:w="1814" w:type="dxa"/>
            <w:tcBorders>
              <w:top w:val="single" w:color="auto" w:sz="4" w:space="0"/>
              <w:left w:val="single" w:color="auto" w:sz="4" w:space="0"/>
              <w:bottom w:val="single" w:color="auto" w:sz="4" w:space="0"/>
              <w:right w:val="single" w:color="auto" w:sz="8" w:space="0"/>
            </w:tcBorders>
            <w:vAlign w:val="center"/>
          </w:tcPr>
          <w:p>
            <w:pPr>
              <w:widowControl/>
              <w:ind w:firstLine="0" w:firstLineChars="0"/>
              <w:jc w:val="center"/>
              <w:rPr>
                <w:rFonts w:ascii="宋体" w:hAnsi="宋体" w:eastAsia="宋体" w:cs="宋体"/>
                <w:sz w:val="21"/>
                <w:szCs w:val="21"/>
              </w:rPr>
            </w:pPr>
          </w:p>
        </w:tc>
        <w:tc>
          <w:tcPr>
            <w:tcW w:w="2001"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ind w:firstLine="0" w:firstLineChars="0"/>
              <w:jc w:val="center"/>
              <w:rPr>
                <w:rFonts w:ascii="宋体" w:hAnsi="宋体" w:eastAsia="宋体" w:cs="宋体"/>
                <w:sz w:val="21"/>
                <w:szCs w:val="21"/>
              </w:rPr>
            </w:pPr>
          </w:p>
        </w:tc>
      </w:tr>
      <w:tr>
        <w:tblPrEx>
          <w:tblCellMar>
            <w:top w:w="0" w:type="dxa"/>
            <w:left w:w="0" w:type="dxa"/>
            <w:bottom w:w="0" w:type="dxa"/>
            <w:right w:w="0" w:type="dxa"/>
          </w:tblCellMar>
        </w:tblPrEx>
        <w:trPr>
          <w:cantSplit/>
          <w:trHeight w:val="340" w:hRule="atLeast"/>
          <w:jc w:val="center"/>
        </w:trPr>
        <w:tc>
          <w:tcPr>
            <w:tcW w:w="823" w:type="dxa"/>
            <w:tcBorders>
              <w:top w:val="single" w:color="auto" w:sz="4" w:space="0"/>
              <w:left w:val="single" w:color="auto" w:sz="8" w:space="0"/>
              <w:bottom w:val="single" w:color="auto" w:sz="4" w:space="0"/>
              <w:right w:val="single" w:color="auto" w:sz="8" w:space="0"/>
            </w:tcBorders>
            <w:vAlign w:val="center"/>
          </w:tcPr>
          <w:p>
            <w:pPr>
              <w:widowControl/>
              <w:ind w:firstLine="0" w:firstLineChars="0"/>
              <w:jc w:val="center"/>
              <w:rPr>
                <w:rFonts w:ascii="宋体" w:hAnsi="宋体" w:eastAsia="宋体" w:cs="宋体"/>
                <w:sz w:val="21"/>
                <w:szCs w:val="21"/>
              </w:rPr>
            </w:pPr>
            <w:r>
              <w:rPr>
                <w:rFonts w:hint="eastAsia" w:ascii="宋体" w:hAnsi="宋体" w:eastAsia="宋体" w:cs="宋体"/>
                <w:sz w:val="21"/>
                <w:szCs w:val="21"/>
              </w:rPr>
              <w:t>11</w:t>
            </w:r>
          </w:p>
        </w:tc>
        <w:tc>
          <w:tcPr>
            <w:tcW w:w="4564" w:type="dxa"/>
            <w:tcBorders>
              <w:top w:val="single" w:color="auto" w:sz="4" w:space="0"/>
              <w:left w:val="nil"/>
              <w:bottom w:val="single" w:color="auto" w:sz="4" w:space="0"/>
              <w:right w:val="single" w:color="auto" w:sz="4" w:space="0"/>
            </w:tcBorders>
            <w:vAlign w:val="center"/>
          </w:tcPr>
          <w:p>
            <w:pPr>
              <w:widowControl/>
              <w:ind w:firstLine="0" w:firstLineChars="0"/>
              <w:rPr>
                <w:rFonts w:ascii="宋体" w:hAnsi="宋体" w:eastAsia="宋体" w:cs="宋体"/>
                <w:sz w:val="21"/>
                <w:szCs w:val="21"/>
              </w:rPr>
            </w:pPr>
            <w:r>
              <w:rPr>
                <w:rFonts w:hint="eastAsia" w:ascii="宋体" w:hAnsi="宋体" w:eastAsia="宋体" w:cs="宋体"/>
                <w:sz w:val="21"/>
                <w:szCs w:val="21"/>
              </w:rPr>
              <w:t>其他</w:t>
            </w:r>
          </w:p>
        </w:tc>
        <w:tc>
          <w:tcPr>
            <w:tcW w:w="1814" w:type="dxa"/>
            <w:tcBorders>
              <w:top w:val="single" w:color="auto" w:sz="4" w:space="0"/>
              <w:left w:val="single" w:color="auto" w:sz="4" w:space="0"/>
              <w:bottom w:val="single" w:color="auto" w:sz="4" w:space="0"/>
              <w:right w:val="single" w:color="auto" w:sz="8" w:space="0"/>
            </w:tcBorders>
            <w:vAlign w:val="center"/>
          </w:tcPr>
          <w:p>
            <w:pPr>
              <w:widowControl/>
              <w:ind w:firstLine="0" w:firstLineChars="0"/>
              <w:jc w:val="center"/>
              <w:rPr>
                <w:rFonts w:ascii="宋体" w:hAnsi="宋体" w:eastAsia="宋体" w:cs="宋体"/>
                <w:sz w:val="21"/>
                <w:szCs w:val="21"/>
              </w:rPr>
            </w:pPr>
          </w:p>
        </w:tc>
        <w:tc>
          <w:tcPr>
            <w:tcW w:w="2001"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pPr>
              <w:widowControl/>
              <w:ind w:firstLine="0" w:firstLineChars="0"/>
              <w:jc w:val="center"/>
              <w:rPr>
                <w:rFonts w:ascii="宋体" w:hAnsi="宋体" w:eastAsia="宋体" w:cs="宋体"/>
                <w:sz w:val="21"/>
                <w:szCs w:val="21"/>
              </w:rPr>
            </w:pPr>
          </w:p>
        </w:tc>
      </w:tr>
    </w:tbl>
    <w:p>
      <w:pPr>
        <w:pStyle w:val="15"/>
        <w:ind w:firstLine="480"/>
        <w:rPr>
          <w:rFonts w:ascii="宋体" w:hAnsi="宋体" w:cs="宋体"/>
          <w:szCs w:val="21"/>
        </w:rPr>
      </w:pPr>
    </w:p>
    <w:p>
      <w:pPr>
        <w:pStyle w:val="36"/>
        <w:ind w:firstLine="240"/>
        <w:rPr>
          <w:rFonts w:ascii="宋体" w:hAnsi="宋体" w:cs="宋体"/>
          <w:szCs w:val="21"/>
        </w:rPr>
      </w:pPr>
    </w:p>
    <w:p>
      <w:pPr>
        <w:ind w:firstLine="480"/>
        <w:rPr>
          <w:rFonts w:ascii="宋体" w:hAnsi="宋体" w:cs="宋体"/>
          <w:szCs w:val="21"/>
        </w:rPr>
      </w:pPr>
    </w:p>
    <w:p>
      <w:pPr>
        <w:pStyle w:val="19"/>
        <w:adjustRightInd w:val="0"/>
        <w:snapToGrid w:val="0"/>
        <w:spacing w:line="360" w:lineRule="auto"/>
        <w:ind w:firstLine="420"/>
        <w:rPr>
          <w:rFonts w:hAnsi="宋体"/>
        </w:rPr>
      </w:pPr>
      <w:r>
        <w:rPr>
          <w:rFonts w:hint="eastAsia" w:hAnsi="宋体"/>
        </w:rPr>
        <w:t>投标人全称（盖单位公章）：</w:t>
      </w:r>
    </w:p>
    <w:p>
      <w:pPr>
        <w:pStyle w:val="19"/>
        <w:adjustRightInd w:val="0"/>
        <w:snapToGrid w:val="0"/>
        <w:spacing w:line="360" w:lineRule="auto"/>
        <w:ind w:firstLine="420"/>
        <w:rPr>
          <w:rFonts w:hAnsi="宋体"/>
        </w:rPr>
      </w:pPr>
      <w:r>
        <w:rPr>
          <w:rFonts w:hint="eastAsia" w:hAnsi="宋体"/>
        </w:rPr>
        <w:t>法定代表人或其授权委托人（签字或盖章）：</w:t>
      </w:r>
    </w:p>
    <w:p>
      <w:pPr>
        <w:pStyle w:val="19"/>
        <w:adjustRightInd w:val="0"/>
        <w:snapToGrid w:val="0"/>
        <w:spacing w:line="360" w:lineRule="auto"/>
        <w:ind w:firstLine="420"/>
        <w:rPr>
          <w:rFonts w:hAnsi="宋体"/>
        </w:rPr>
      </w:pPr>
      <w:r>
        <w:rPr>
          <w:rFonts w:hint="eastAsia" w:hAnsi="宋体"/>
        </w:rPr>
        <w:t>日期：</w:t>
      </w:r>
    </w:p>
    <w:p>
      <w:pPr>
        <w:pStyle w:val="15"/>
        <w:ind w:firstLine="480"/>
        <w:rPr>
          <w:rFonts w:ascii="宋体" w:hAnsi="宋体" w:cs="宋体"/>
          <w:szCs w:val="21"/>
        </w:rPr>
      </w:pPr>
    </w:p>
    <w:p>
      <w:pPr>
        <w:pStyle w:val="36"/>
        <w:ind w:firstLine="240"/>
        <w:rPr>
          <w:rFonts w:ascii="宋体" w:hAnsi="宋体" w:cs="宋体"/>
          <w:szCs w:val="21"/>
        </w:rPr>
      </w:pPr>
    </w:p>
    <w:p>
      <w:pPr>
        <w:ind w:firstLine="480"/>
      </w:pPr>
    </w:p>
    <w:p>
      <w:pPr>
        <w:ind w:firstLine="480"/>
        <w:rPr>
          <w:rFonts w:ascii="宋体" w:hAnsi="宋体" w:cs="宋体"/>
          <w:szCs w:val="21"/>
        </w:rPr>
      </w:pPr>
    </w:p>
    <w:p>
      <w:pPr>
        <w:pStyle w:val="3"/>
        <w:ind w:left="480" w:firstLine="480"/>
        <w:rPr>
          <w:rFonts w:ascii="宋体" w:hAnsi="宋体" w:cs="宋体"/>
          <w:szCs w:val="21"/>
        </w:rPr>
      </w:pPr>
    </w:p>
    <w:p>
      <w:pPr>
        <w:ind w:firstLine="480"/>
      </w:pPr>
    </w:p>
    <w:p>
      <w:pPr>
        <w:ind w:firstLine="482"/>
        <w:rPr>
          <w:rFonts w:hAnsi="宋体"/>
          <w:b/>
        </w:rPr>
      </w:pPr>
    </w:p>
    <w:p>
      <w:pPr>
        <w:pStyle w:val="3"/>
        <w:spacing w:line="360" w:lineRule="auto"/>
        <w:ind w:left="533" w:leftChars="180" w:hanging="101" w:hangingChars="36"/>
        <w:jc w:val="left"/>
        <w:outlineLvl w:val="0"/>
        <w:rPr>
          <w:rFonts w:ascii="宋体" w:hAnsi="宋体" w:cs="宋体"/>
          <w:b/>
          <w:sz w:val="28"/>
          <w:szCs w:val="28"/>
        </w:rPr>
      </w:pPr>
      <w:bookmarkStart w:id="428" w:name="_Toc6044"/>
      <w:bookmarkStart w:id="429" w:name="_Toc13955"/>
      <w:r>
        <w:rPr>
          <w:rFonts w:hint="eastAsia" w:cs="宋体"/>
          <w:b/>
          <w:sz w:val="28"/>
          <w:szCs w:val="28"/>
        </w:rPr>
        <w:t>七</w:t>
      </w:r>
      <w:r>
        <w:rPr>
          <w:rFonts w:hint="eastAsia" w:ascii="宋体" w:hAnsi="宋体" w:cs="宋体"/>
          <w:b/>
          <w:sz w:val="28"/>
          <w:szCs w:val="28"/>
        </w:rPr>
        <w:t>、</w:t>
      </w:r>
      <w:r>
        <w:rPr>
          <w:rFonts w:hint="eastAsia" w:cs="宋体"/>
          <w:b/>
          <w:sz w:val="28"/>
          <w:szCs w:val="28"/>
        </w:rPr>
        <w:t>技术部分</w:t>
      </w:r>
      <w:bookmarkEnd w:id="428"/>
      <w:bookmarkEnd w:id="429"/>
    </w:p>
    <w:p>
      <w:pPr>
        <w:ind w:firstLine="456"/>
        <w:rPr>
          <w:rFonts w:ascii="宋体" w:hAnsi="宋体" w:eastAsia="宋体"/>
          <w:spacing w:val="-6"/>
        </w:rPr>
      </w:pPr>
      <w:r>
        <w:rPr>
          <w:rFonts w:hint="eastAsia" w:ascii="宋体" w:hAnsi="宋体" w:eastAsia="宋体"/>
          <w:color w:val="000000" w:themeColor="text1"/>
          <w:spacing w:val="-6"/>
          <w14:textFill>
            <w14:solidFill>
              <w14:schemeClr w14:val="tx1"/>
            </w14:solidFill>
          </w14:textFill>
        </w:rPr>
        <w:t>1、由投标人按</w:t>
      </w:r>
      <w:r>
        <w:rPr>
          <w:rFonts w:hint="eastAsia" w:ascii="宋体" w:hAnsi="宋体" w:eastAsia="宋体"/>
          <w:spacing w:val="-6"/>
        </w:rPr>
        <w:t>评分细则自行编制；</w:t>
      </w:r>
    </w:p>
    <w:p>
      <w:pPr>
        <w:pStyle w:val="15"/>
        <w:ind w:firstLine="396"/>
        <w:rPr>
          <w:rFonts w:ascii="宋体" w:hAnsi="宋体" w:eastAsia="宋体"/>
          <w:spacing w:val="-6"/>
          <w:sz w:val="21"/>
          <w:szCs w:val="21"/>
        </w:rPr>
      </w:pPr>
    </w:p>
    <w:p>
      <w:pPr>
        <w:pStyle w:val="36"/>
        <w:ind w:firstLine="198"/>
        <w:rPr>
          <w:rFonts w:ascii="宋体" w:hAnsi="宋体" w:eastAsia="宋体"/>
          <w:spacing w:val="-6"/>
          <w:sz w:val="21"/>
          <w:szCs w:val="21"/>
        </w:rPr>
      </w:pPr>
    </w:p>
    <w:p>
      <w:pPr>
        <w:ind w:firstLine="396"/>
        <w:rPr>
          <w:rFonts w:ascii="宋体" w:hAnsi="宋体" w:eastAsia="宋体"/>
          <w:spacing w:val="-6"/>
          <w:sz w:val="21"/>
          <w:szCs w:val="21"/>
        </w:rPr>
      </w:pPr>
    </w:p>
    <w:p>
      <w:pPr>
        <w:pStyle w:val="15"/>
        <w:ind w:firstLine="396"/>
        <w:rPr>
          <w:rFonts w:ascii="宋体" w:hAnsi="宋体" w:eastAsia="宋体"/>
          <w:spacing w:val="-6"/>
          <w:sz w:val="21"/>
          <w:szCs w:val="21"/>
        </w:rPr>
      </w:pPr>
    </w:p>
    <w:p>
      <w:pPr>
        <w:pStyle w:val="36"/>
        <w:ind w:firstLine="198"/>
        <w:rPr>
          <w:rFonts w:ascii="宋体" w:hAnsi="宋体" w:eastAsia="宋体"/>
          <w:spacing w:val="-6"/>
          <w:sz w:val="21"/>
          <w:szCs w:val="21"/>
        </w:rPr>
      </w:pPr>
    </w:p>
    <w:p>
      <w:pPr>
        <w:ind w:firstLine="396"/>
        <w:rPr>
          <w:rFonts w:ascii="宋体" w:hAnsi="宋体" w:eastAsia="宋体"/>
          <w:spacing w:val="-6"/>
          <w:sz w:val="21"/>
          <w:szCs w:val="21"/>
        </w:rPr>
      </w:pPr>
    </w:p>
    <w:p>
      <w:pPr>
        <w:pStyle w:val="15"/>
        <w:ind w:firstLine="396"/>
        <w:rPr>
          <w:rFonts w:ascii="宋体" w:hAnsi="宋体" w:eastAsia="宋体"/>
          <w:spacing w:val="-6"/>
          <w:sz w:val="21"/>
          <w:szCs w:val="21"/>
        </w:rPr>
      </w:pPr>
    </w:p>
    <w:p>
      <w:pPr>
        <w:pStyle w:val="36"/>
        <w:ind w:firstLine="198"/>
        <w:rPr>
          <w:rFonts w:ascii="宋体" w:hAnsi="宋体" w:eastAsia="宋体"/>
          <w:spacing w:val="-6"/>
          <w:sz w:val="21"/>
          <w:szCs w:val="21"/>
        </w:rPr>
      </w:pPr>
    </w:p>
    <w:p>
      <w:pPr>
        <w:ind w:firstLine="396"/>
        <w:rPr>
          <w:rFonts w:ascii="宋体" w:hAnsi="宋体" w:eastAsia="宋体"/>
          <w:spacing w:val="-6"/>
          <w:sz w:val="21"/>
          <w:szCs w:val="21"/>
        </w:rPr>
      </w:pPr>
    </w:p>
    <w:p>
      <w:pPr>
        <w:pStyle w:val="15"/>
        <w:ind w:firstLine="396"/>
        <w:rPr>
          <w:rFonts w:ascii="宋体" w:hAnsi="宋体" w:eastAsia="宋体"/>
          <w:spacing w:val="-6"/>
          <w:sz w:val="21"/>
          <w:szCs w:val="21"/>
        </w:rPr>
      </w:pPr>
    </w:p>
    <w:p>
      <w:pPr>
        <w:pStyle w:val="36"/>
        <w:ind w:firstLine="198"/>
        <w:rPr>
          <w:rFonts w:ascii="宋体" w:hAnsi="宋体" w:eastAsia="宋体"/>
          <w:spacing w:val="-6"/>
          <w:sz w:val="21"/>
          <w:szCs w:val="21"/>
        </w:rPr>
      </w:pPr>
    </w:p>
    <w:p>
      <w:pPr>
        <w:ind w:firstLine="396"/>
        <w:rPr>
          <w:rFonts w:ascii="宋体" w:hAnsi="宋体" w:eastAsia="宋体"/>
          <w:spacing w:val="-6"/>
          <w:sz w:val="21"/>
          <w:szCs w:val="21"/>
        </w:rPr>
      </w:pPr>
    </w:p>
    <w:p>
      <w:pPr>
        <w:pStyle w:val="15"/>
        <w:ind w:firstLine="396"/>
        <w:rPr>
          <w:rFonts w:ascii="宋体" w:hAnsi="宋体" w:eastAsia="宋体"/>
          <w:spacing w:val="-6"/>
          <w:sz w:val="21"/>
          <w:szCs w:val="21"/>
        </w:rPr>
      </w:pPr>
    </w:p>
    <w:p>
      <w:pPr>
        <w:pStyle w:val="36"/>
        <w:ind w:firstLine="198"/>
        <w:rPr>
          <w:rFonts w:ascii="宋体" w:hAnsi="宋体" w:eastAsia="宋体"/>
          <w:spacing w:val="-6"/>
          <w:sz w:val="21"/>
          <w:szCs w:val="21"/>
        </w:rPr>
      </w:pPr>
    </w:p>
    <w:p>
      <w:pPr>
        <w:ind w:firstLine="396"/>
        <w:rPr>
          <w:rFonts w:ascii="宋体" w:hAnsi="宋体" w:eastAsia="宋体"/>
          <w:spacing w:val="-6"/>
          <w:sz w:val="21"/>
          <w:szCs w:val="21"/>
        </w:rPr>
      </w:pPr>
    </w:p>
    <w:p>
      <w:pPr>
        <w:pStyle w:val="15"/>
        <w:ind w:firstLine="396"/>
        <w:rPr>
          <w:rFonts w:ascii="宋体" w:hAnsi="宋体" w:eastAsia="宋体"/>
          <w:spacing w:val="-6"/>
          <w:sz w:val="21"/>
          <w:szCs w:val="21"/>
        </w:rPr>
      </w:pPr>
    </w:p>
    <w:p>
      <w:pPr>
        <w:pStyle w:val="36"/>
        <w:ind w:firstLine="198"/>
        <w:rPr>
          <w:rFonts w:ascii="宋体" w:hAnsi="宋体" w:eastAsia="宋体"/>
          <w:spacing w:val="-6"/>
          <w:sz w:val="21"/>
          <w:szCs w:val="21"/>
        </w:rPr>
      </w:pPr>
    </w:p>
    <w:p>
      <w:pPr>
        <w:ind w:firstLine="396"/>
        <w:rPr>
          <w:rFonts w:ascii="宋体" w:hAnsi="宋体" w:eastAsia="宋体"/>
          <w:spacing w:val="-6"/>
          <w:sz w:val="21"/>
          <w:szCs w:val="21"/>
        </w:rPr>
      </w:pPr>
    </w:p>
    <w:p>
      <w:pPr>
        <w:pStyle w:val="48"/>
        <w:rPr>
          <w:spacing w:val="-6"/>
          <w:sz w:val="21"/>
          <w:szCs w:val="21"/>
          <w:lang w:val="en-US"/>
        </w:rPr>
      </w:pPr>
    </w:p>
    <w:p>
      <w:pPr>
        <w:pStyle w:val="48"/>
        <w:rPr>
          <w:spacing w:val="-6"/>
          <w:sz w:val="21"/>
          <w:szCs w:val="21"/>
          <w:lang w:val="en-US"/>
        </w:rPr>
      </w:pPr>
    </w:p>
    <w:p>
      <w:pPr>
        <w:pStyle w:val="48"/>
        <w:rPr>
          <w:spacing w:val="-6"/>
          <w:sz w:val="21"/>
          <w:szCs w:val="21"/>
          <w:lang w:val="en-US"/>
        </w:rPr>
      </w:pPr>
    </w:p>
    <w:p>
      <w:pPr>
        <w:pStyle w:val="48"/>
        <w:rPr>
          <w:spacing w:val="-6"/>
          <w:sz w:val="21"/>
          <w:szCs w:val="21"/>
          <w:lang w:val="en-US"/>
        </w:rPr>
      </w:pPr>
    </w:p>
    <w:p>
      <w:pPr>
        <w:pStyle w:val="48"/>
        <w:rPr>
          <w:spacing w:val="-6"/>
          <w:sz w:val="21"/>
          <w:szCs w:val="21"/>
          <w:lang w:val="en-US"/>
        </w:rPr>
      </w:pPr>
    </w:p>
    <w:p>
      <w:pPr>
        <w:pStyle w:val="48"/>
        <w:rPr>
          <w:spacing w:val="-6"/>
          <w:sz w:val="21"/>
          <w:szCs w:val="21"/>
          <w:lang w:val="en-US"/>
        </w:rPr>
      </w:pPr>
    </w:p>
    <w:p>
      <w:pPr>
        <w:pStyle w:val="48"/>
        <w:rPr>
          <w:spacing w:val="-6"/>
          <w:sz w:val="21"/>
          <w:szCs w:val="21"/>
          <w:lang w:val="en-US"/>
        </w:rPr>
      </w:pPr>
    </w:p>
    <w:p>
      <w:pPr>
        <w:pStyle w:val="48"/>
        <w:rPr>
          <w:spacing w:val="-6"/>
          <w:sz w:val="21"/>
          <w:szCs w:val="21"/>
          <w:lang w:val="en-US"/>
        </w:rPr>
      </w:pPr>
    </w:p>
    <w:p>
      <w:pPr>
        <w:pStyle w:val="36"/>
        <w:ind w:firstLine="0" w:firstLineChars="0"/>
      </w:pPr>
    </w:p>
    <w:p>
      <w:pPr>
        <w:spacing w:line="360" w:lineRule="auto"/>
        <w:ind w:firstLine="0" w:firstLineChars="0"/>
        <w:jc w:val="center"/>
        <w:rPr>
          <w:rFonts w:ascii="宋体" w:hAnsi="宋体" w:cs="宋体"/>
          <w:b/>
          <w:bCs/>
          <w:sz w:val="32"/>
          <w:szCs w:val="20"/>
        </w:rPr>
      </w:pPr>
    </w:p>
    <w:p>
      <w:pPr>
        <w:spacing w:line="360" w:lineRule="auto"/>
        <w:ind w:firstLine="0" w:firstLineChars="0"/>
        <w:jc w:val="center"/>
      </w:pPr>
      <w:r>
        <w:rPr>
          <w:rFonts w:hint="eastAsia" w:ascii="宋体" w:hAnsi="宋体" w:cs="宋体"/>
          <w:b/>
          <w:bCs/>
          <w:sz w:val="32"/>
          <w:szCs w:val="20"/>
        </w:rPr>
        <w:t>（三）报价文件</w:t>
      </w:r>
    </w:p>
    <w:p>
      <w:pPr>
        <w:spacing w:line="480" w:lineRule="auto"/>
        <w:ind w:firstLine="482"/>
        <w:rPr>
          <w:rFonts w:ascii="宋体" w:hAnsi="宋体" w:cs="宋体"/>
          <w:b/>
        </w:rPr>
      </w:pPr>
      <w:bookmarkStart w:id="430" w:name="_Toc336683578"/>
      <w:bookmarkStart w:id="431" w:name="_Toc345575538"/>
      <w:r>
        <w:rPr>
          <w:rFonts w:hint="eastAsia" w:ascii="宋体" w:hAnsi="宋体" w:cs="宋体"/>
          <w:b/>
        </w:rPr>
        <w:t>一、投标函格式</w:t>
      </w:r>
      <w:bookmarkEnd w:id="430"/>
      <w:bookmarkEnd w:id="431"/>
    </w:p>
    <w:p>
      <w:pPr>
        <w:spacing w:line="480" w:lineRule="auto"/>
        <w:ind w:firstLine="643"/>
        <w:jc w:val="center"/>
        <w:rPr>
          <w:rFonts w:ascii="宋体" w:hAnsi="宋体" w:cs="宋体"/>
          <w:b/>
          <w:bCs/>
          <w:sz w:val="32"/>
          <w:szCs w:val="32"/>
        </w:rPr>
      </w:pPr>
      <w:r>
        <w:rPr>
          <w:rFonts w:hint="eastAsia" w:ascii="宋体" w:hAnsi="宋体" w:cs="宋体"/>
          <w:b/>
          <w:bCs/>
          <w:sz w:val="32"/>
          <w:szCs w:val="32"/>
        </w:rPr>
        <w:t>投标函</w:t>
      </w:r>
    </w:p>
    <w:p>
      <w:pPr>
        <w:pStyle w:val="19"/>
        <w:adjustRightInd w:val="0"/>
        <w:snapToGrid w:val="0"/>
        <w:spacing w:line="48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u w:val="single"/>
          <w:lang w:eastAsia="zh-CN"/>
        </w:rPr>
        <w:t>龙游华水农村供水发展有限公司</w:t>
      </w:r>
      <w:r>
        <w:rPr>
          <w:rFonts w:hint="eastAsia" w:asciiTheme="minorEastAsia" w:hAnsiTheme="minorEastAsia" w:eastAsiaTheme="minorEastAsia" w:cstheme="minorEastAsia"/>
        </w:rPr>
        <w:t>：</w:t>
      </w:r>
    </w:p>
    <w:p>
      <w:pPr>
        <w:pStyle w:val="19"/>
        <w:adjustRightInd w:val="0"/>
        <w:snapToGrid w:val="0"/>
        <w:spacing w:line="480" w:lineRule="auto"/>
        <w:ind w:firstLine="420"/>
        <w:rPr>
          <w:rFonts w:asciiTheme="minorEastAsia" w:hAnsiTheme="minorEastAsia" w:eastAsiaTheme="minorEastAsia" w:cstheme="minorEastAsia"/>
        </w:rPr>
      </w:pPr>
      <w:r>
        <w:rPr>
          <w:rFonts w:hint="eastAsia" w:asciiTheme="minorEastAsia" w:hAnsiTheme="minorEastAsia" w:eastAsiaTheme="minorEastAsia" w:cstheme="minorEastAsia"/>
          <w:u w:val="single"/>
        </w:rPr>
        <w:t>泰宇建筑工程技术咨询有限公司</w:t>
      </w:r>
      <w:r>
        <w:rPr>
          <w:rFonts w:hint="eastAsia" w:asciiTheme="minorEastAsia" w:hAnsiTheme="minorEastAsia" w:eastAsiaTheme="minorEastAsia" w:cstheme="minorEastAsia"/>
        </w:rPr>
        <w:t>：</w:t>
      </w:r>
    </w:p>
    <w:p>
      <w:pPr>
        <w:pStyle w:val="19"/>
        <w:adjustRightInd w:val="0"/>
        <w:snapToGrid w:val="0"/>
        <w:spacing w:line="480" w:lineRule="auto"/>
        <w:ind w:firstLine="411" w:firstLineChars="196"/>
        <w:rPr>
          <w:rFonts w:asciiTheme="minorEastAsia" w:hAnsiTheme="minorEastAsia" w:eastAsiaTheme="minorEastAsia" w:cstheme="minorEastAsia"/>
        </w:rPr>
      </w:pPr>
      <w:r>
        <w:rPr>
          <w:rFonts w:hint="eastAsia" w:asciiTheme="minorEastAsia" w:hAnsiTheme="minorEastAsia" w:eastAsiaTheme="minorEastAsia" w:cstheme="minorEastAsia"/>
          <w:u w:val="single"/>
        </w:rPr>
        <w:t>（投标人全称）</w:t>
      </w:r>
      <w:r>
        <w:rPr>
          <w:rFonts w:hint="eastAsia" w:asciiTheme="minorEastAsia" w:hAnsiTheme="minorEastAsia" w:eastAsiaTheme="minorEastAsia" w:cstheme="minorEastAsia"/>
        </w:rPr>
        <w:t>参加贵方组织的</w:t>
      </w:r>
      <w:r>
        <w:rPr>
          <w:rFonts w:hint="eastAsia" w:asciiTheme="minorEastAsia" w:hAnsiTheme="minorEastAsia" w:eastAsiaTheme="minorEastAsia" w:cstheme="minorEastAsia"/>
          <w:u w:val="single"/>
        </w:rPr>
        <w:t>（项目名称）（项目编号）</w:t>
      </w:r>
      <w:r>
        <w:rPr>
          <w:rFonts w:hint="eastAsia" w:asciiTheme="minorEastAsia" w:hAnsiTheme="minorEastAsia" w:eastAsiaTheme="minorEastAsia" w:cstheme="minorEastAsia"/>
        </w:rPr>
        <w:t>招标投标的有关活动。为此我方：</w:t>
      </w:r>
    </w:p>
    <w:p>
      <w:pPr>
        <w:adjustRightInd w:val="0"/>
        <w:snapToGrid w:val="0"/>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1、承诺在投标人</w:t>
      </w:r>
      <w:r>
        <w:rPr>
          <w:rFonts w:hint="eastAsia" w:asciiTheme="minorEastAsia" w:hAnsiTheme="minorEastAsia" w:eastAsiaTheme="minorEastAsia" w:cstheme="minorEastAsia"/>
          <w:kern w:val="44"/>
          <w:sz w:val="21"/>
          <w:szCs w:val="21"/>
        </w:rPr>
        <w:t>须知</w:t>
      </w:r>
      <w:r>
        <w:rPr>
          <w:rFonts w:hint="eastAsia" w:asciiTheme="minorEastAsia" w:hAnsiTheme="minorEastAsia" w:eastAsiaTheme="minorEastAsia" w:cstheme="minorEastAsia"/>
          <w:sz w:val="21"/>
          <w:szCs w:val="21"/>
        </w:rPr>
        <w:t>规定的投标截止日起遵守本投标文件中的承诺，且在投标有效期满之前均具有约束力。</w:t>
      </w:r>
    </w:p>
    <w:p>
      <w:pPr>
        <w:adjustRightInd w:val="0"/>
        <w:snapToGrid w:val="0"/>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2、承诺已经具备《中华人民共和国政府采购法》中规定的参加政府采购活动的投标人应当具备的条件及采购人规定的特定条件。</w:t>
      </w:r>
    </w:p>
    <w:p>
      <w:pPr>
        <w:adjustRightInd w:val="0"/>
        <w:snapToGrid w:val="0"/>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3、已详细审核全部采购文件，包括采购文件补充（如果有）、参考资料及有关附件，确认无误。</w:t>
      </w:r>
    </w:p>
    <w:p>
      <w:pPr>
        <w:adjustRightInd w:val="0"/>
        <w:snapToGrid w:val="0"/>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4、提供</w:t>
      </w:r>
      <w:r>
        <w:rPr>
          <w:rFonts w:hint="eastAsia" w:asciiTheme="minorEastAsia" w:hAnsiTheme="minorEastAsia" w:eastAsiaTheme="minorEastAsia" w:cstheme="minorEastAsia"/>
          <w:kern w:val="44"/>
          <w:sz w:val="21"/>
          <w:szCs w:val="21"/>
        </w:rPr>
        <w:t>投标人须知</w:t>
      </w:r>
      <w:r>
        <w:rPr>
          <w:rFonts w:hint="eastAsia" w:asciiTheme="minorEastAsia" w:hAnsiTheme="minorEastAsia" w:eastAsiaTheme="minorEastAsia" w:cstheme="minorEastAsia"/>
          <w:sz w:val="21"/>
          <w:szCs w:val="21"/>
        </w:rPr>
        <w:t>规定的全部投标文件。</w:t>
      </w:r>
    </w:p>
    <w:p>
      <w:pPr>
        <w:adjustRightInd w:val="0"/>
        <w:snapToGrid w:val="0"/>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5、投标报价详见《开标一览表》。</w:t>
      </w:r>
    </w:p>
    <w:p>
      <w:pPr>
        <w:adjustRightInd w:val="0"/>
        <w:snapToGrid w:val="0"/>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6、保证遵守采购文件中的其他有关规定。</w:t>
      </w:r>
    </w:p>
    <w:p>
      <w:pPr>
        <w:adjustRightInd w:val="0"/>
        <w:snapToGrid w:val="0"/>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7、完全理解不一定接受最低价中标。</w:t>
      </w:r>
    </w:p>
    <w:p>
      <w:pPr>
        <w:adjustRightInd w:val="0"/>
        <w:snapToGrid w:val="0"/>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8、愿意向贵方提供任何与该项目投标有关的数据、情况和技术资料。若贵方需要，愿意提供我方做出的一切承诺的证明材料。</w:t>
      </w:r>
    </w:p>
    <w:p>
      <w:pPr>
        <w:adjustRightInd w:val="0"/>
        <w:snapToGrid w:val="0"/>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9、保证忠实地执行双方所签订的合同，并承担合同规定的责任和义务。</w:t>
      </w:r>
    </w:p>
    <w:p>
      <w:pPr>
        <w:adjustRightInd w:val="0"/>
        <w:snapToGrid w:val="0"/>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a）提供虚假材料谋取中标、成交的；</w:t>
      </w:r>
    </w:p>
    <w:p>
      <w:pPr>
        <w:adjustRightInd w:val="0"/>
        <w:snapToGrid w:val="0"/>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b）采取不正当手段诋毁、排挤其他投标人的；</w:t>
      </w:r>
    </w:p>
    <w:p>
      <w:pPr>
        <w:adjustRightInd w:val="0"/>
        <w:snapToGrid w:val="0"/>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c）与采购人、其它投标人或者采购代理机构恶意串通的；</w:t>
      </w:r>
    </w:p>
    <w:p>
      <w:pPr>
        <w:adjustRightInd w:val="0"/>
        <w:snapToGrid w:val="0"/>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d）向采购人、采购代理机构行贿或者提供其他不正当利益的；</w:t>
      </w:r>
    </w:p>
    <w:p>
      <w:pPr>
        <w:adjustRightInd w:val="0"/>
        <w:snapToGrid w:val="0"/>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e）在采购采购过程中与采购人进行协商谈判的；</w:t>
      </w:r>
    </w:p>
    <w:p>
      <w:pPr>
        <w:adjustRightInd w:val="0"/>
        <w:snapToGrid w:val="0"/>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f）拒绝有关部门监督检查或提供虚假情况的。</w:t>
      </w:r>
    </w:p>
    <w:p>
      <w:pPr>
        <w:adjustRightInd w:val="0"/>
        <w:snapToGrid w:val="0"/>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投标人有前款第a）至e）项情形之一的，中标、成交无效。</w:t>
      </w:r>
    </w:p>
    <w:p>
      <w:pPr>
        <w:adjustRightInd w:val="0"/>
        <w:snapToGrid w:val="0"/>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11、本投标文件的有效期为自投标截止时间起</w:t>
      </w:r>
      <w:r>
        <w:rPr>
          <w:rFonts w:hint="eastAsia" w:asciiTheme="minorEastAsia" w:hAnsiTheme="minorEastAsia" w:eastAsiaTheme="minorEastAsia" w:cstheme="minorEastAsia"/>
          <w:sz w:val="21"/>
          <w:szCs w:val="21"/>
          <w:u w:val="single"/>
        </w:rPr>
        <w:t>90</w:t>
      </w:r>
      <w:r>
        <w:rPr>
          <w:rFonts w:hint="eastAsia" w:asciiTheme="minorEastAsia" w:hAnsiTheme="minorEastAsia" w:eastAsiaTheme="minorEastAsia" w:cstheme="minorEastAsia"/>
          <w:sz w:val="21"/>
          <w:szCs w:val="21"/>
        </w:rPr>
        <w:t>天。</w:t>
      </w:r>
    </w:p>
    <w:p>
      <w:pPr>
        <w:adjustRightInd w:val="0"/>
        <w:snapToGrid w:val="0"/>
        <w:spacing w:line="360" w:lineRule="auto"/>
        <w:ind w:firstLine="420"/>
        <w:rPr>
          <w:rFonts w:asciiTheme="minorEastAsia" w:hAnsiTheme="minorEastAsia" w:eastAsiaTheme="minorEastAsia" w:cstheme="minorEastAsia"/>
          <w:sz w:val="21"/>
          <w:szCs w:val="21"/>
        </w:rPr>
      </w:pPr>
    </w:p>
    <w:p>
      <w:pPr>
        <w:pStyle w:val="19"/>
        <w:adjustRightInd w:val="0"/>
        <w:snapToGrid w:val="0"/>
        <w:spacing w:line="480" w:lineRule="auto"/>
        <w:ind w:firstLine="420"/>
        <w:rPr>
          <w:rFonts w:asciiTheme="minorEastAsia" w:hAnsiTheme="minorEastAsia" w:eastAsiaTheme="minorEastAsia" w:cstheme="minorEastAsia"/>
          <w:bCs/>
        </w:rPr>
      </w:pPr>
      <w:r>
        <w:rPr>
          <w:rFonts w:hint="eastAsia" w:asciiTheme="minorEastAsia" w:hAnsiTheme="minorEastAsia" w:eastAsiaTheme="minorEastAsia" w:cstheme="minorEastAsia"/>
          <w:bCs/>
        </w:rPr>
        <w:t>投标人全称（盖单位公章）：</w:t>
      </w:r>
    </w:p>
    <w:p>
      <w:pPr>
        <w:pStyle w:val="19"/>
        <w:adjustRightInd w:val="0"/>
        <w:snapToGrid w:val="0"/>
        <w:spacing w:line="480" w:lineRule="auto"/>
        <w:ind w:firstLine="420"/>
        <w:rPr>
          <w:rFonts w:asciiTheme="minorEastAsia" w:hAnsiTheme="minorEastAsia" w:eastAsiaTheme="minorEastAsia" w:cstheme="minorEastAsia"/>
          <w:bCs/>
        </w:rPr>
      </w:pPr>
      <w:r>
        <w:rPr>
          <w:rFonts w:hint="eastAsia" w:asciiTheme="minorEastAsia" w:hAnsiTheme="minorEastAsia" w:eastAsiaTheme="minorEastAsia" w:cstheme="minorEastAsia"/>
          <w:bCs/>
        </w:rPr>
        <w:t>法定代表人或其授权委托人（签字或盖章）：</w:t>
      </w:r>
    </w:p>
    <w:p>
      <w:pPr>
        <w:pStyle w:val="19"/>
        <w:adjustRightInd w:val="0"/>
        <w:snapToGrid w:val="0"/>
        <w:spacing w:line="480" w:lineRule="auto"/>
        <w:ind w:firstLine="420"/>
        <w:rPr>
          <w:rFonts w:asciiTheme="minorEastAsia" w:hAnsiTheme="minorEastAsia" w:eastAsiaTheme="minorEastAsia" w:cstheme="minorEastAsia"/>
          <w:bCs/>
        </w:rPr>
      </w:pPr>
      <w:r>
        <w:rPr>
          <w:rFonts w:hint="eastAsia" w:asciiTheme="minorEastAsia" w:hAnsiTheme="minorEastAsia" w:eastAsiaTheme="minorEastAsia" w:cstheme="minorEastAsia"/>
          <w:bCs/>
        </w:rPr>
        <w:t>日期：</w:t>
      </w:r>
    </w:p>
    <w:p>
      <w:pPr>
        <w:pStyle w:val="19"/>
        <w:adjustRightInd w:val="0"/>
        <w:snapToGrid w:val="0"/>
        <w:spacing w:line="480" w:lineRule="auto"/>
        <w:ind w:firstLine="420"/>
        <w:rPr>
          <w:rFonts w:asciiTheme="minorEastAsia" w:hAnsiTheme="minorEastAsia" w:eastAsiaTheme="minorEastAsia" w:cstheme="minorEastAsia"/>
          <w:bCs/>
        </w:rPr>
      </w:pPr>
      <w:r>
        <w:rPr>
          <w:rFonts w:hint="eastAsia" w:asciiTheme="minorEastAsia" w:hAnsiTheme="minorEastAsia" w:eastAsiaTheme="minorEastAsia" w:cstheme="minorEastAsia"/>
          <w:bCs/>
        </w:rPr>
        <w:t>单位地址：</w:t>
      </w:r>
    </w:p>
    <w:p>
      <w:pPr>
        <w:pStyle w:val="19"/>
        <w:adjustRightInd w:val="0"/>
        <w:snapToGrid w:val="0"/>
        <w:spacing w:line="480" w:lineRule="auto"/>
        <w:ind w:firstLine="420"/>
        <w:rPr>
          <w:rFonts w:asciiTheme="minorEastAsia" w:hAnsiTheme="minorEastAsia" w:eastAsiaTheme="minorEastAsia" w:cstheme="minorEastAsia"/>
          <w:bCs/>
        </w:rPr>
      </w:pPr>
      <w:r>
        <w:rPr>
          <w:rFonts w:hint="eastAsia" w:asciiTheme="minorEastAsia" w:hAnsiTheme="minorEastAsia" w:eastAsiaTheme="minorEastAsia" w:cstheme="minorEastAsia"/>
          <w:bCs/>
        </w:rPr>
        <w:t>邮编：</w:t>
      </w:r>
    </w:p>
    <w:p>
      <w:pPr>
        <w:pStyle w:val="19"/>
        <w:adjustRightInd w:val="0"/>
        <w:snapToGrid w:val="0"/>
        <w:spacing w:line="480" w:lineRule="auto"/>
        <w:ind w:firstLine="420"/>
        <w:rPr>
          <w:rFonts w:asciiTheme="minorEastAsia" w:hAnsiTheme="minorEastAsia" w:eastAsiaTheme="minorEastAsia" w:cstheme="minorEastAsia"/>
          <w:bCs/>
        </w:rPr>
      </w:pPr>
      <w:r>
        <w:rPr>
          <w:rFonts w:hint="eastAsia" w:asciiTheme="minorEastAsia" w:hAnsiTheme="minorEastAsia" w:eastAsiaTheme="minorEastAsia" w:cstheme="minorEastAsia"/>
          <w:bCs/>
        </w:rPr>
        <w:t>电话：</w:t>
      </w:r>
    </w:p>
    <w:p>
      <w:pPr>
        <w:pStyle w:val="19"/>
        <w:adjustRightInd w:val="0"/>
        <w:snapToGrid w:val="0"/>
        <w:spacing w:line="480" w:lineRule="auto"/>
        <w:ind w:firstLine="420"/>
        <w:rPr>
          <w:rFonts w:asciiTheme="minorEastAsia" w:hAnsiTheme="minorEastAsia" w:eastAsiaTheme="minorEastAsia" w:cstheme="minorEastAsia"/>
          <w:bCs/>
        </w:rPr>
      </w:pPr>
      <w:r>
        <w:rPr>
          <w:rFonts w:hint="eastAsia" w:asciiTheme="minorEastAsia" w:hAnsiTheme="minorEastAsia" w:eastAsiaTheme="minorEastAsia" w:cstheme="minorEastAsia"/>
          <w:bCs/>
        </w:rPr>
        <w:t>传真：</w:t>
      </w:r>
    </w:p>
    <w:p>
      <w:pPr>
        <w:adjustRightInd w:val="0"/>
        <w:snapToGrid w:val="0"/>
        <w:spacing w:line="480" w:lineRule="auto"/>
        <w:ind w:firstLine="420"/>
        <w:rPr>
          <w:rFonts w:ascii="宋体" w:hAnsi="宋体" w:cs="宋体"/>
          <w:sz w:val="21"/>
          <w:szCs w:val="21"/>
        </w:rPr>
      </w:pPr>
      <w:r>
        <w:rPr>
          <w:rFonts w:hint="eastAsia" w:ascii="宋体" w:hAnsi="宋体" w:cs="宋体"/>
          <w:sz w:val="21"/>
          <w:szCs w:val="21"/>
        </w:rPr>
        <w:t>注：未按照本投标函要求填报的将被视为非实质性响应投标，从而可能导致该投标被拒绝</w:t>
      </w:r>
    </w:p>
    <w:p>
      <w:pPr>
        <w:ind w:firstLine="422"/>
        <w:rPr>
          <w:rFonts w:ascii="宋体" w:hAnsi="宋体" w:cs="宋体"/>
          <w:b/>
          <w:sz w:val="21"/>
          <w:szCs w:val="21"/>
        </w:rPr>
      </w:pPr>
    </w:p>
    <w:p>
      <w:pPr>
        <w:ind w:firstLine="422"/>
        <w:rPr>
          <w:rFonts w:ascii="宋体" w:hAnsi="宋体" w:cs="宋体"/>
          <w:b/>
          <w:sz w:val="21"/>
          <w:szCs w:val="21"/>
        </w:rPr>
      </w:pPr>
    </w:p>
    <w:p>
      <w:pPr>
        <w:ind w:firstLine="422"/>
        <w:rPr>
          <w:rFonts w:ascii="宋体" w:hAnsi="宋体" w:cs="宋体"/>
          <w:b/>
          <w:sz w:val="21"/>
          <w:szCs w:val="21"/>
        </w:rPr>
      </w:pPr>
    </w:p>
    <w:p>
      <w:pPr>
        <w:ind w:firstLine="482"/>
        <w:rPr>
          <w:rFonts w:ascii="宋体" w:hAnsi="宋体" w:cs="宋体"/>
          <w:b/>
        </w:rPr>
      </w:pPr>
    </w:p>
    <w:p>
      <w:pPr>
        <w:ind w:firstLine="482"/>
        <w:rPr>
          <w:rFonts w:ascii="宋体" w:hAnsi="宋体" w:cs="宋体"/>
          <w:b/>
        </w:rPr>
      </w:pPr>
    </w:p>
    <w:p>
      <w:pPr>
        <w:ind w:left="480" w:firstLine="0" w:firstLineChars="0"/>
      </w:pPr>
    </w:p>
    <w:p>
      <w:pPr>
        <w:ind w:left="480" w:firstLine="0" w:firstLineChars="0"/>
      </w:pPr>
    </w:p>
    <w:p>
      <w:pPr>
        <w:ind w:left="480" w:firstLine="0" w:firstLineChars="0"/>
      </w:pPr>
    </w:p>
    <w:p>
      <w:pPr>
        <w:ind w:left="480" w:firstLine="0" w:firstLineChars="0"/>
      </w:pPr>
    </w:p>
    <w:p>
      <w:pPr>
        <w:ind w:left="480" w:firstLine="0" w:firstLineChars="0"/>
      </w:pPr>
    </w:p>
    <w:p>
      <w:pPr>
        <w:ind w:left="480" w:firstLine="0" w:firstLineChars="0"/>
      </w:pPr>
    </w:p>
    <w:p>
      <w:pPr>
        <w:ind w:left="480" w:firstLine="0" w:firstLineChars="0"/>
      </w:pPr>
    </w:p>
    <w:p>
      <w:pPr>
        <w:ind w:left="480" w:firstLine="0" w:firstLineChars="0"/>
      </w:pPr>
    </w:p>
    <w:p>
      <w:pPr>
        <w:ind w:left="480" w:firstLine="0" w:firstLineChars="0"/>
      </w:pPr>
    </w:p>
    <w:p>
      <w:pPr>
        <w:ind w:left="480" w:firstLine="0" w:firstLineChars="0"/>
      </w:pPr>
    </w:p>
    <w:p>
      <w:pPr>
        <w:ind w:left="480" w:firstLine="0" w:firstLineChars="0"/>
      </w:pPr>
    </w:p>
    <w:p>
      <w:pPr>
        <w:ind w:firstLine="482"/>
        <w:rPr>
          <w:rFonts w:ascii="宋体" w:hAnsi="宋体" w:cs="宋体"/>
          <w:b/>
        </w:rPr>
      </w:pPr>
      <w:bookmarkStart w:id="432" w:name="_Toc336683579"/>
      <w:bookmarkStart w:id="433" w:name="_Toc345575539"/>
    </w:p>
    <w:p>
      <w:pPr>
        <w:pStyle w:val="2"/>
        <w:ind w:left="480" w:firstLine="482"/>
        <w:rPr>
          <w:rFonts w:ascii="宋体" w:hAnsi="宋体" w:cs="宋体"/>
          <w:b/>
        </w:rPr>
      </w:pPr>
    </w:p>
    <w:p>
      <w:pPr>
        <w:ind w:firstLine="480"/>
      </w:pPr>
    </w:p>
    <w:p>
      <w:pPr>
        <w:ind w:firstLine="482"/>
        <w:rPr>
          <w:rFonts w:ascii="宋体" w:hAnsi="宋体" w:cs="宋体"/>
          <w:b/>
        </w:rPr>
      </w:pPr>
    </w:p>
    <w:p>
      <w:pPr>
        <w:ind w:firstLine="0" w:firstLineChars="0"/>
        <w:rPr>
          <w:rFonts w:ascii="宋体" w:hAnsi="宋体" w:eastAsia="宋体" w:cs="宋体"/>
          <w:b/>
          <w:highlight w:val="none"/>
        </w:rPr>
      </w:pPr>
      <w:r>
        <w:rPr>
          <w:rFonts w:hint="eastAsia" w:ascii="宋体" w:hAnsi="宋体" w:cs="宋体"/>
          <w:b/>
          <w:highlight w:val="none"/>
        </w:rPr>
        <w:t>二、报价一览表格式</w:t>
      </w:r>
      <w:bookmarkEnd w:id="432"/>
      <w:bookmarkEnd w:id="433"/>
      <w:r>
        <w:rPr>
          <w:rFonts w:hint="eastAsia" w:ascii="宋体" w:hAnsi="宋体" w:cs="宋体"/>
          <w:b/>
          <w:highlight w:val="none"/>
        </w:rPr>
        <w:t>1</w:t>
      </w:r>
    </w:p>
    <w:p>
      <w:pPr>
        <w:spacing w:line="360" w:lineRule="auto"/>
        <w:ind w:firstLine="482"/>
        <w:jc w:val="center"/>
        <w:rPr>
          <w:rFonts w:ascii="宋体" w:hAnsi="宋体" w:eastAsia="宋体" w:cs="宋体"/>
          <w:b/>
          <w:bCs/>
          <w:highlight w:val="none"/>
        </w:rPr>
      </w:pPr>
      <w:r>
        <w:rPr>
          <w:rFonts w:hint="eastAsia" w:ascii="宋体" w:hAnsi="宋体" w:eastAsia="宋体" w:cs="宋体"/>
          <w:b/>
          <w:bCs/>
          <w:highlight w:val="none"/>
        </w:rPr>
        <w:t>报价一览表</w:t>
      </w:r>
    </w:p>
    <w:p>
      <w:pPr>
        <w:pStyle w:val="19"/>
        <w:adjustRightInd w:val="0"/>
        <w:snapToGrid w:val="0"/>
        <w:spacing w:line="360" w:lineRule="auto"/>
        <w:ind w:firstLine="480"/>
        <w:rPr>
          <w:rFonts w:hint="eastAsia" w:hAnsi="宋体" w:eastAsia="宋体"/>
          <w:sz w:val="21"/>
          <w:szCs w:val="21"/>
          <w:highlight w:val="none"/>
          <w:u w:val="single"/>
          <w:lang w:eastAsia="zh-CN"/>
        </w:rPr>
      </w:pPr>
      <w:r>
        <w:rPr>
          <w:rFonts w:hint="eastAsia" w:hAnsi="宋体"/>
          <w:sz w:val="21"/>
          <w:szCs w:val="21"/>
          <w:highlight w:val="none"/>
        </w:rPr>
        <w:t>项目名称：</w:t>
      </w:r>
      <w:r>
        <w:rPr>
          <w:rFonts w:hint="eastAsia" w:hAnsi="宋体"/>
          <w:sz w:val="21"/>
          <w:szCs w:val="21"/>
          <w:highlight w:val="none"/>
          <w:lang w:eastAsia="zh-CN"/>
        </w:rPr>
        <w:t>2025年农村供水哈夫节采购项目</w:t>
      </w:r>
    </w:p>
    <w:p>
      <w:pPr>
        <w:pStyle w:val="19"/>
        <w:adjustRightInd w:val="0"/>
        <w:snapToGrid w:val="0"/>
        <w:spacing w:line="360" w:lineRule="auto"/>
        <w:ind w:firstLine="480"/>
        <w:rPr>
          <w:rFonts w:hint="eastAsia" w:hAnsi="宋体" w:eastAsia="宋体"/>
          <w:sz w:val="21"/>
          <w:szCs w:val="21"/>
          <w:highlight w:val="none"/>
          <w:u w:val="single"/>
          <w:lang w:eastAsia="zh-CN"/>
        </w:rPr>
      </w:pPr>
      <w:r>
        <w:rPr>
          <w:rFonts w:hint="eastAsia" w:hAnsi="宋体"/>
          <w:sz w:val="21"/>
          <w:szCs w:val="21"/>
          <w:highlight w:val="none"/>
        </w:rPr>
        <w:t xml:space="preserve">项目编号： </w:t>
      </w:r>
      <w:r>
        <w:rPr>
          <w:rFonts w:hint="eastAsia" w:hAnsi="宋体"/>
          <w:sz w:val="21"/>
          <w:szCs w:val="21"/>
          <w:highlight w:val="none"/>
          <w:lang w:eastAsia="zh-CN"/>
        </w:rPr>
        <w:t xml:space="preserve">LYCG2025TY-018 </w:t>
      </w:r>
    </w:p>
    <w:p>
      <w:pPr>
        <w:pStyle w:val="19"/>
        <w:adjustRightInd w:val="0"/>
        <w:snapToGrid w:val="0"/>
        <w:spacing w:line="360" w:lineRule="auto"/>
        <w:ind w:firstLine="480"/>
        <w:jc w:val="right"/>
        <w:rPr>
          <w:rFonts w:hAnsi="宋体"/>
          <w:sz w:val="21"/>
          <w:szCs w:val="21"/>
          <w:highlight w:val="none"/>
        </w:rPr>
      </w:pPr>
      <w:r>
        <w:rPr>
          <w:rFonts w:hint="eastAsia" w:hAnsi="宋体"/>
          <w:sz w:val="21"/>
          <w:szCs w:val="21"/>
          <w:highlight w:val="none"/>
        </w:rPr>
        <w:t>（价格单位：元人民币）</w:t>
      </w:r>
    </w:p>
    <w:p>
      <w:pPr>
        <w:adjustRightInd w:val="0"/>
        <w:snapToGrid w:val="0"/>
        <w:spacing w:line="360" w:lineRule="auto"/>
        <w:ind w:firstLine="480"/>
        <w:rPr>
          <w:rFonts w:ascii="宋体" w:hAnsi="宋体" w:cs="宋体"/>
          <w:sz w:val="21"/>
          <w:szCs w:val="21"/>
          <w:highlight w:val="none"/>
        </w:rPr>
      </w:pPr>
    </w:p>
    <w:tbl>
      <w:tblPr>
        <w:tblStyle w:val="37"/>
        <w:tblW w:w="10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2744"/>
        <w:gridCol w:w="2089"/>
        <w:gridCol w:w="2215"/>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14" w:type="dxa"/>
            <w:noWrap w:val="0"/>
            <w:vAlign w:val="center"/>
          </w:tcPr>
          <w:p>
            <w:pPr>
              <w:spacing w:line="280" w:lineRule="exact"/>
              <w:ind w:left="0" w:leftChars="0"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序号</w:t>
            </w:r>
          </w:p>
        </w:tc>
        <w:tc>
          <w:tcPr>
            <w:tcW w:w="2744" w:type="dxa"/>
            <w:noWrap w:val="0"/>
            <w:vAlign w:val="center"/>
          </w:tcPr>
          <w:p>
            <w:pPr>
              <w:spacing w:line="280" w:lineRule="exact"/>
              <w:ind w:left="0" w:lef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2089" w:type="dxa"/>
            <w:noWrap w:val="0"/>
            <w:vAlign w:val="center"/>
          </w:tcPr>
          <w:p>
            <w:pPr>
              <w:spacing w:line="280" w:lineRule="exact"/>
              <w:ind w:left="0" w:leftChars="0" w:firstLine="0" w:firstLineChar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报价</w:t>
            </w:r>
            <w:r>
              <w:rPr>
                <w:rFonts w:hint="eastAsia" w:ascii="宋体" w:hAnsi="宋体" w:eastAsia="宋体" w:cs="Arial"/>
                <w:sz w:val="21"/>
                <w:szCs w:val="21"/>
                <w:lang w:val="en-US" w:eastAsia="zh-CN"/>
              </w:rPr>
              <w:t>费率(</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w:t>
            </w:r>
          </w:p>
        </w:tc>
        <w:tc>
          <w:tcPr>
            <w:tcW w:w="2215" w:type="dxa"/>
            <w:noWrap w:val="0"/>
            <w:vAlign w:val="center"/>
          </w:tcPr>
          <w:p>
            <w:pPr>
              <w:spacing w:line="280" w:lineRule="exact"/>
              <w:ind w:left="0" w:leftChars="0"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供货期</w:t>
            </w:r>
          </w:p>
        </w:tc>
        <w:tc>
          <w:tcPr>
            <w:tcW w:w="2215" w:type="dxa"/>
            <w:noWrap w:val="0"/>
            <w:vAlign w:val="center"/>
          </w:tcPr>
          <w:p>
            <w:pPr>
              <w:spacing w:line="280" w:lineRule="exact"/>
              <w:ind w:left="0" w:leftChars="0" w:firstLine="0" w:firstLineChar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响应品牌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814" w:type="dxa"/>
            <w:noWrap w:val="0"/>
            <w:vAlign w:val="center"/>
          </w:tcPr>
          <w:p>
            <w:pPr>
              <w:spacing w:line="280" w:lineRule="exact"/>
              <w:ind w:left="0" w:leftChars="0"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p>
        </w:tc>
        <w:tc>
          <w:tcPr>
            <w:tcW w:w="2744" w:type="dxa"/>
            <w:noWrap w:val="0"/>
            <w:vAlign w:val="center"/>
          </w:tcPr>
          <w:p>
            <w:pPr>
              <w:spacing w:line="280" w:lineRule="exact"/>
              <w:ind w:left="0" w:leftChars="0" w:firstLine="0" w:firstLineChars="0"/>
              <w:jc w:val="center"/>
              <w:rPr>
                <w:rFonts w:hint="eastAsia" w:ascii="宋体" w:hAnsi="宋体" w:eastAsia="宋体" w:cs="宋体"/>
                <w:sz w:val="21"/>
                <w:szCs w:val="21"/>
                <w:highlight w:val="none"/>
              </w:rPr>
            </w:pPr>
            <w:r>
              <w:rPr>
                <w:rFonts w:hint="eastAsia" w:ascii="宋体" w:hAnsi="宋体" w:eastAsia="宋体" w:cs="宋体"/>
                <w:kern w:val="2"/>
                <w:sz w:val="21"/>
                <w:szCs w:val="21"/>
                <w:lang w:val="en-US" w:eastAsia="zh-CN" w:bidi="ar-SA"/>
              </w:rPr>
              <w:t>2025年农村供水哈夫节采购项目</w:t>
            </w:r>
          </w:p>
        </w:tc>
        <w:tc>
          <w:tcPr>
            <w:tcW w:w="2089" w:type="dxa"/>
            <w:noWrap w:val="0"/>
            <w:vAlign w:val="center"/>
          </w:tcPr>
          <w:p>
            <w:pPr>
              <w:ind w:left="0" w:leftChars="0" w:firstLine="0" w:firstLineChars="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小写：           </w:t>
            </w:r>
          </w:p>
          <w:p>
            <w:pPr>
              <w:pStyle w:val="35"/>
              <w:ind w:left="0" w:leftChars="0"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b w:val="0"/>
                <w:bCs w:val="0"/>
                <w:sz w:val="21"/>
                <w:szCs w:val="21"/>
                <w:highlight w:val="none"/>
              </w:rPr>
              <w:t>大写：</w:t>
            </w:r>
            <w:r>
              <w:rPr>
                <w:rFonts w:hint="eastAsia" w:ascii="宋体" w:hAnsi="宋体" w:cs="宋体"/>
                <w:b w:val="0"/>
                <w:bCs w:val="0"/>
                <w:sz w:val="21"/>
                <w:szCs w:val="21"/>
                <w:highlight w:val="none"/>
                <w:lang w:val="en-US" w:eastAsia="zh-CN"/>
              </w:rPr>
              <w:t xml:space="preserve"> </w:t>
            </w:r>
          </w:p>
        </w:tc>
        <w:tc>
          <w:tcPr>
            <w:tcW w:w="2215" w:type="dxa"/>
            <w:noWrap w:val="0"/>
            <w:vAlign w:val="center"/>
          </w:tcPr>
          <w:p>
            <w:pPr>
              <w:spacing w:line="280" w:lineRule="exact"/>
              <w:ind w:left="0" w:lef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lang w:val="en-US" w:eastAsia="zh-CN"/>
              </w:rPr>
              <w:t>1年或本次预算金额用完</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w:t>
            </w:r>
          </w:p>
        </w:tc>
        <w:tc>
          <w:tcPr>
            <w:tcW w:w="2215" w:type="dxa"/>
            <w:noWrap w:val="0"/>
            <w:vAlign w:val="center"/>
          </w:tcPr>
          <w:p>
            <w:pPr>
              <w:spacing w:line="280" w:lineRule="exact"/>
              <w:ind w:left="0" w:leftChars="0" w:firstLine="0" w:firstLineChars="0"/>
              <w:jc w:val="center"/>
              <w:rPr>
                <w:rFonts w:hint="eastAsia" w:ascii="宋体" w:hAnsi="宋体" w:eastAsia="宋体" w:cs="宋体"/>
                <w:sz w:val="21"/>
                <w:szCs w:val="21"/>
                <w:lang w:val="en-US" w:eastAsia="zh-CN"/>
              </w:rPr>
            </w:pPr>
          </w:p>
        </w:tc>
      </w:tr>
    </w:tbl>
    <w:p>
      <w:pPr>
        <w:pStyle w:val="19"/>
        <w:adjustRightInd w:val="0"/>
        <w:snapToGrid w:val="0"/>
        <w:ind w:firstLine="420"/>
        <w:rPr>
          <w:rFonts w:hAnsi="宋体" w:cs="Arial"/>
          <w:sz w:val="21"/>
          <w:szCs w:val="21"/>
        </w:rPr>
      </w:pPr>
      <w:r>
        <w:rPr>
          <w:rFonts w:hint="eastAsia" w:hAnsi="宋体"/>
          <w:color w:val="000000"/>
          <w:sz w:val="21"/>
          <w:szCs w:val="21"/>
        </w:rPr>
        <w:t xml:space="preserve">  </w:t>
      </w:r>
      <w:r>
        <w:rPr>
          <w:rFonts w:hAnsi="宋体" w:cs="Arial"/>
          <w:sz w:val="21"/>
          <w:szCs w:val="21"/>
        </w:rPr>
        <w:t>报价说明：</w:t>
      </w:r>
    </w:p>
    <w:p>
      <w:pPr>
        <w:pStyle w:val="19"/>
        <w:adjustRightInd w:val="0"/>
        <w:snapToGrid w:val="0"/>
        <w:ind w:firstLine="420"/>
        <w:rPr>
          <w:rFonts w:hint="eastAsia" w:ascii="宋体" w:hAnsi="宋体" w:eastAsia="宋体" w:cs="Arial"/>
          <w:sz w:val="21"/>
          <w:szCs w:val="21"/>
          <w:lang w:val="en-US" w:eastAsia="zh-CN"/>
        </w:rPr>
      </w:pPr>
      <w:r>
        <w:rPr>
          <w:rFonts w:hint="eastAsia" w:ascii="宋体" w:hAnsi="宋体" w:eastAsia="宋体" w:cs="Arial"/>
          <w:sz w:val="21"/>
          <w:szCs w:val="21"/>
          <w:lang w:val="en-US" w:eastAsia="zh-CN"/>
        </w:rPr>
        <w:t>1、此项目费率报价，最高费率为100%，报价区间0%-100%（含），保留整数，不在区间内报价无效。如：</w:t>
      </w:r>
      <w:r>
        <w:rPr>
          <w:rFonts w:hint="eastAsia" w:ascii="宋体" w:hAnsi="宋体" w:eastAsia="宋体" w:cs="Arial"/>
          <w:sz w:val="21"/>
          <w:szCs w:val="21"/>
          <w:u w:val="single"/>
          <w:lang w:val="en-US" w:eastAsia="zh-CN"/>
        </w:rPr>
        <w:t>88</w:t>
      </w:r>
    </w:p>
    <w:p>
      <w:pPr>
        <w:pStyle w:val="19"/>
        <w:adjustRightInd w:val="0"/>
        <w:snapToGrid w:val="0"/>
        <w:ind w:firstLine="420"/>
        <w:rPr>
          <w:rFonts w:hAnsi="宋体" w:cs="Arial"/>
          <w:sz w:val="21"/>
          <w:szCs w:val="21"/>
        </w:rPr>
      </w:pPr>
      <w:r>
        <w:rPr>
          <w:rFonts w:hint="eastAsia" w:hAnsi="宋体" w:cs="Arial"/>
          <w:sz w:val="21"/>
          <w:szCs w:val="21"/>
          <w:lang w:val="en-US" w:eastAsia="zh-CN"/>
        </w:rPr>
        <w:t>2</w:t>
      </w:r>
      <w:r>
        <w:rPr>
          <w:rFonts w:hint="eastAsia" w:hAnsi="宋体" w:cs="Arial"/>
          <w:sz w:val="21"/>
          <w:szCs w:val="21"/>
        </w:rPr>
        <w:t>.本表内容完整填写，不得随意改变格式，采用印刷体打印，字迹清晰，否则以无效报价处理；</w:t>
      </w:r>
    </w:p>
    <w:p>
      <w:pPr>
        <w:pStyle w:val="25"/>
        <w:spacing w:line="360" w:lineRule="auto"/>
        <w:ind w:firstLine="420"/>
        <w:rPr>
          <w:rFonts w:hint="eastAsia" w:ascii="宋体" w:hAnsi="宋体" w:eastAsia="宋体" w:cs="Arial"/>
          <w:kern w:val="2"/>
          <w:sz w:val="21"/>
          <w:szCs w:val="21"/>
          <w:lang w:val="en-US" w:eastAsia="zh-CN" w:bidi="ar-SA"/>
        </w:rPr>
      </w:pPr>
      <w:r>
        <w:rPr>
          <w:rFonts w:hint="eastAsia" w:hAnsi="宋体" w:cs="Arial"/>
          <w:sz w:val="21"/>
          <w:szCs w:val="21"/>
          <w:lang w:val="en-US" w:eastAsia="zh-CN"/>
        </w:rPr>
        <w:t>3</w:t>
      </w:r>
      <w:r>
        <w:rPr>
          <w:rFonts w:hint="eastAsia" w:ascii="宋体" w:hAnsi="宋体" w:eastAsia="宋体" w:cs="Arial"/>
          <w:kern w:val="2"/>
          <w:sz w:val="21"/>
          <w:szCs w:val="21"/>
          <w:lang w:val="en-US" w:eastAsia="zh-CN" w:bidi="ar-SA"/>
        </w:rPr>
        <w:t>.投标报价应包括项目履行期间完成全部工作的所有费用，包含但不仅限于采购清单内所有所需货物、材料、管理、运输、装卸、搬运、税费、利润、成果验收、风险费、售后服务及的其他配件等费用，以及中标后中标单位因本项目合同履行产生的税金、人工、管理、合理利润、采购代理费等一切成本及费用。</w:t>
      </w:r>
    </w:p>
    <w:p>
      <w:pPr>
        <w:adjustRightInd w:val="0"/>
        <w:snapToGrid w:val="0"/>
        <w:spacing w:line="360" w:lineRule="auto"/>
        <w:ind w:firstLine="420"/>
        <w:jc w:val="left"/>
        <w:rPr>
          <w:sz w:val="21"/>
          <w:szCs w:val="21"/>
        </w:rPr>
      </w:pPr>
      <w:r>
        <w:rPr>
          <w:rFonts w:hint="eastAsia" w:ascii="宋体" w:hAnsi="宋体" w:eastAsia="宋体" w:cs="宋体"/>
          <w:kern w:val="2"/>
          <w:sz w:val="21"/>
          <w:szCs w:val="21"/>
          <w:lang w:val="en-US" w:eastAsia="zh-CN" w:bidi="ar-SA"/>
        </w:rPr>
        <w:t>4.大写金额与小写金额不一致时，以大写金额为准。</w:t>
      </w:r>
    </w:p>
    <w:p>
      <w:pPr>
        <w:adjustRightInd w:val="0"/>
        <w:snapToGrid w:val="0"/>
        <w:spacing w:line="360" w:lineRule="auto"/>
        <w:ind w:firstLine="480"/>
        <w:rPr>
          <w:rFonts w:ascii="宋体" w:hAnsi="宋体" w:cs="宋体"/>
          <w:sz w:val="21"/>
          <w:szCs w:val="21"/>
        </w:rPr>
      </w:pPr>
    </w:p>
    <w:p>
      <w:pPr>
        <w:pStyle w:val="19"/>
        <w:adjustRightInd w:val="0"/>
        <w:snapToGrid w:val="0"/>
        <w:spacing w:line="360" w:lineRule="auto"/>
        <w:ind w:firstLine="420"/>
        <w:rPr>
          <w:rFonts w:hAnsi="宋体"/>
          <w:bCs/>
          <w:sz w:val="21"/>
          <w:szCs w:val="21"/>
        </w:rPr>
      </w:pPr>
      <w:r>
        <w:rPr>
          <w:rFonts w:hint="eastAsia" w:hAnsi="宋体"/>
          <w:bCs/>
          <w:sz w:val="21"/>
          <w:szCs w:val="21"/>
        </w:rPr>
        <w:t>投标人全称（盖单位公章）：</w:t>
      </w:r>
    </w:p>
    <w:p>
      <w:pPr>
        <w:pStyle w:val="19"/>
        <w:adjustRightInd w:val="0"/>
        <w:snapToGrid w:val="0"/>
        <w:spacing w:line="360" w:lineRule="auto"/>
        <w:ind w:firstLine="420"/>
        <w:rPr>
          <w:rFonts w:hAnsi="宋体"/>
          <w:bCs/>
          <w:sz w:val="21"/>
          <w:szCs w:val="21"/>
        </w:rPr>
      </w:pPr>
      <w:r>
        <w:rPr>
          <w:rFonts w:hint="eastAsia" w:hAnsi="宋体"/>
          <w:bCs/>
          <w:sz w:val="21"/>
          <w:szCs w:val="21"/>
        </w:rPr>
        <w:t>法定代表人或其授权委托人（签字或盖章）：</w:t>
      </w:r>
      <w:bookmarkStart w:id="434" w:name="_Toc14182"/>
    </w:p>
    <w:p>
      <w:pPr>
        <w:pStyle w:val="19"/>
        <w:adjustRightInd w:val="0"/>
        <w:snapToGrid w:val="0"/>
        <w:spacing w:line="360" w:lineRule="auto"/>
        <w:ind w:firstLine="420"/>
        <w:rPr>
          <w:rFonts w:hAnsi="宋体"/>
          <w:bCs/>
          <w:sz w:val="21"/>
          <w:szCs w:val="21"/>
        </w:rPr>
      </w:pPr>
      <w:r>
        <w:rPr>
          <w:rFonts w:hint="eastAsia" w:hAnsi="宋体"/>
          <w:bCs/>
          <w:sz w:val="21"/>
          <w:szCs w:val="21"/>
        </w:rPr>
        <w:t>日期：</w:t>
      </w:r>
      <w:bookmarkEnd w:id="434"/>
    </w:p>
    <w:p>
      <w:pPr>
        <w:pStyle w:val="19"/>
        <w:adjustRightInd w:val="0"/>
        <w:snapToGrid w:val="0"/>
        <w:spacing w:line="360" w:lineRule="auto"/>
        <w:ind w:firstLine="420"/>
        <w:rPr>
          <w:rFonts w:hAnsi="宋体"/>
          <w:bCs/>
          <w:sz w:val="24"/>
          <w:szCs w:val="24"/>
        </w:rPr>
      </w:pPr>
    </w:p>
    <w:p>
      <w:pPr>
        <w:ind w:firstLine="420"/>
        <w:rPr>
          <w:rFonts w:ascii="宋体" w:hAnsi="宋体" w:eastAsia="宋体" w:cs="宋体"/>
          <w:sz w:val="21"/>
          <w:szCs w:val="21"/>
        </w:rPr>
      </w:pPr>
    </w:p>
    <w:p>
      <w:pPr>
        <w:pStyle w:val="46"/>
        <w:ind w:firstLine="420"/>
        <w:rPr>
          <w:rFonts w:ascii="宋体" w:hAnsi="宋体" w:eastAsia="宋体" w:cs="宋体"/>
          <w:kern w:val="2"/>
          <w:sz w:val="21"/>
          <w:szCs w:val="21"/>
        </w:rPr>
      </w:pPr>
    </w:p>
    <w:p>
      <w:pPr>
        <w:pStyle w:val="15"/>
        <w:ind w:firstLine="420"/>
        <w:rPr>
          <w:rFonts w:ascii="宋体" w:hAnsi="宋体" w:eastAsia="宋体" w:cs="宋体"/>
          <w:sz w:val="21"/>
          <w:szCs w:val="21"/>
        </w:rPr>
      </w:pPr>
    </w:p>
    <w:p>
      <w:pPr>
        <w:ind w:left="0" w:leftChars="0" w:firstLine="0" w:firstLineChars="0"/>
        <w:rPr>
          <w:rFonts w:ascii="宋体" w:hAnsi="宋体" w:eastAsia="宋体" w:cs="宋体"/>
          <w:sz w:val="21"/>
          <w:szCs w:val="21"/>
        </w:rPr>
      </w:pPr>
    </w:p>
    <w:bookmarkEnd w:id="397"/>
    <w:p>
      <w:pPr>
        <w:rPr>
          <w:rFonts w:hint="eastAsia"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br w:type="page"/>
      </w:r>
    </w:p>
    <w:p>
      <w:pPr>
        <w:ind w:firstLine="422"/>
        <w:rPr>
          <w:rFonts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rPr>
        <w:t>三、</w:t>
      </w:r>
      <w:r>
        <w:rPr>
          <w:rFonts w:hint="eastAsia" w:asciiTheme="majorEastAsia" w:hAnsiTheme="majorEastAsia" w:eastAsiaTheme="majorEastAsia" w:cstheme="majorEastAsia"/>
          <w:b/>
          <w:bCs/>
          <w:color w:val="000000"/>
          <w:sz w:val="21"/>
          <w:szCs w:val="21"/>
        </w:rPr>
        <w:t>中小企业声明函、监狱企业、残疾人福利性单位</w:t>
      </w:r>
    </w:p>
    <w:p>
      <w:pPr>
        <w:pStyle w:val="15"/>
        <w:spacing w:before="5"/>
        <w:ind w:firstLine="0" w:firstLineChars="0"/>
        <w:rPr>
          <w:rFonts w:ascii="宋体"/>
          <w:b/>
          <w:sz w:val="18"/>
          <w:szCs w:val="18"/>
        </w:rPr>
      </w:pPr>
    </w:p>
    <w:p>
      <w:pPr>
        <w:spacing w:line="360" w:lineRule="auto"/>
        <w:ind w:firstLine="643"/>
        <w:jc w:val="center"/>
        <w:rPr>
          <w:rFonts w:ascii="宋体" w:hAnsi="宋体" w:eastAsia="宋体" w:cs="宋体"/>
          <w:b/>
          <w:bCs/>
          <w:sz w:val="32"/>
          <w:szCs w:val="32"/>
        </w:rPr>
      </w:pPr>
      <w:r>
        <w:rPr>
          <w:rFonts w:hint="eastAsia" w:ascii="宋体" w:hAnsi="宋体" w:cs="宋体"/>
          <w:b/>
          <w:bCs/>
          <w:sz w:val="32"/>
          <w:szCs w:val="32"/>
        </w:rPr>
        <w:t>中小企业声明函（货物）</w:t>
      </w:r>
    </w:p>
    <w:p>
      <w:pPr>
        <w:widowControl/>
        <w:snapToGrid w:val="0"/>
        <w:spacing w:line="324" w:lineRule="auto"/>
        <w:ind w:firstLine="480"/>
        <w:jc w:val="center"/>
        <w:outlineLvl w:val="0"/>
        <w:rPr>
          <w:rFonts w:asciiTheme="minorEastAsia" w:hAnsiTheme="minorEastAsia" w:eastAsiaTheme="minorEastAsia" w:cstheme="minorEastAsia"/>
          <w:kern w:val="0"/>
        </w:rPr>
      </w:pPr>
      <w:bookmarkStart w:id="435" w:name="_Toc30187"/>
      <w:bookmarkStart w:id="436" w:name="_Toc22158"/>
      <w:r>
        <w:rPr>
          <w:rFonts w:hint="eastAsia" w:asciiTheme="minorEastAsia" w:hAnsiTheme="minorEastAsia" w:eastAsiaTheme="minorEastAsia" w:cstheme="minorEastAsia"/>
          <w:kern w:val="0"/>
        </w:rPr>
        <w:t>【不属于中小企业的无需填写、递交】</w:t>
      </w:r>
      <w:bookmarkEnd w:id="435"/>
      <w:bookmarkEnd w:id="436"/>
    </w:p>
    <w:p>
      <w:pPr>
        <w:pStyle w:val="9"/>
        <w:ind w:firstLine="480"/>
      </w:pPr>
    </w:p>
    <w:p>
      <w:pPr>
        <w:widowControl/>
        <w:snapToGrid w:val="0"/>
        <w:spacing w:line="480" w:lineRule="auto"/>
        <w:ind w:firstLine="420"/>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kern w:val="0"/>
          <w:sz w:val="21"/>
          <w:szCs w:val="21"/>
          <w:u w:val="single"/>
        </w:rPr>
        <w:t>（单位名称）</w:t>
      </w:r>
      <w:r>
        <w:rPr>
          <w:rFonts w:hint="eastAsia" w:asciiTheme="minorEastAsia" w:hAnsiTheme="minorEastAsia" w:eastAsiaTheme="minorEastAsia" w:cstheme="minorEastAsia"/>
          <w:kern w:val="0"/>
          <w:sz w:val="21"/>
          <w:szCs w:val="21"/>
        </w:rPr>
        <w:t>的</w:t>
      </w:r>
      <w:r>
        <w:rPr>
          <w:rFonts w:hint="eastAsia" w:asciiTheme="minorEastAsia" w:hAnsiTheme="minorEastAsia" w:eastAsiaTheme="minorEastAsia" w:cstheme="minorEastAsia"/>
          <w:kern w:val="0"/>
          <w:sz w:val="21"/>
          <w:szCs w:val="21"/>
          <w:u w:val="single"/>
        </w:rPr>
        <w:t>（项目名称）</w:t>
      </w:r>
      <w:r>
        <w:rPr>
          <w:rFonts w:hint="eastAsia" w:asciiTheme="minorEastAsia" w:hAnsiTheme="minorEastAsia" w:eastAsiaTheme="minorEastAsia" w:cstheme="minorEastAsia"/>
          <w:kern w:val="0"/>
          <w:sz w:val="21"/>
          <w:szCs w:val="21"/>
        </w:rPr>
        <w:t>采购活动，货物全部由符合政策要求的中小企业制造。相关企业（含联合体中的中小企业、签订分包意向协议的中小企业）的具体情况如下：</w:t>
      </w:r>
    </w:p>
    <w:p>
      <w:pPr>
        <w:widowControl/>
        <w:snapToGrid w:val="0"/>
        <w:spacing w:line="480" w:lineRule="auto"/>
        <w:ind w:firstLine="420"/>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1. </w:t>
      </w:r>
      <w:r>
        <w:rPr>
          <w:rFonts w:hint="eastAsia" w:asciiTheme="minorEastAsia" w:hAnsiTheme="minorEastAsia" w:eastAsiaTheme="minorEastAsia" w:cstheme="minorEastAsia"/>
          <w:kern w:val="0"/>
          <w:sz w:val="21"/>
          <w:szCs w:val="21"/>
          <w:u w:val="single"/>
        </w:rPr>
        <w:t>（标的名称）</w:t>
      </w:r>
      <w:r>
        <w:rPr>
          <w:rFonts w:hint="eastAsia" w:asciiTheme="minorEastAsia" w:hAnsiTheme="minorEastAsia" w:eastAsiaTheme="minorEastAsia" w:cstheme="minorEastAsia"/>
          <w:kern w:val="0"/>
          <w:sz w:val="21"/>
          <w:szCs w:val="21"/>
        </w:rPr>
        <w:t>，属于</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u w:val="single"/>
          <w:lang w:val="en-US" w:eastAsia="zh-CN"/>
        </w:rPr>
        <w:t>工业</w:t>
      </w:r>
      <w:r>
        <w:rPr>
          <w:rFonts w:hint="eastAsia" w:asciiTheme="minorEastAsia" w:hAnsiTheme="minorEastAsia" w:eastAsiaTheme="minorEastAsia" w:cstheme="minorEastAsia"/>
          <w:kern w:val="0"/>
          <w:sz w:val="21"/>
          <w:szCs w:val="21"/>
          <w:u w:val="none"/>
          <w:lang w:val="en-US" w:eastAsia="zh-CN"/>
        </w:rPr>
        <w:t>行业</w:t>
      </w:r>
      <w:r>
        <w:rPr>
          <w:rFonts w:hint="eastAsia" w:asciiTheme="minorEastAsia" w:hAnsiTheme="minorEastAsia" w:eastAsiaTheme="minorEastAsia" w:cstheme="minorEastAsia"/>
          <w:kern w:val="0"/>
          <w:sz w:val="21"/>
          <w:szCs w:val="21"/>
        </w:rPr>
        <w:t xml:space="preserve"> ；制造商为</w:t>
      </w:r>
      <w:r>
        <w:rPr>
          <w:rFonts w:hint="eastAsia" w:asciiTheme="minorEastAsia" w:hAnsiTheme="minorEastAsia" w:eastAsiaTheme="minorEastAsia" w:cstheme="minorEastAsia"/>
          <w:kern w:val="0"/>
          <w:sz w:val="21"/>
          <w:szCs w:val="21"/>
          <w:u w:val="single"/>
        </w:rPr>
        <w:t xml:space="preserve"> （企业名称） </w:t>
      </w:r>
      <w:r>
        <w:rPr>
          <w:rFonts w:hint="eastAsia" w:asciiTheme="minorEastAsia" w:hAnsiTheme="minorEastAsia" w:eastAsiaTheme="minorEastAsia" w:cstheme="minorEastAsia"/>
          <w:kern w:val="0"/>
          <w:sz w:val="21"/>
          <w:szCs w:val="21"/>
        </w:rPr>
        <w:t>，从业人员</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人，营业收入为</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万元，资产总额为</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万元</w:t>
      </w:r>
      <w:r>
        <w:rPr>
          <w:rFonts w:hint="eastAsia" w:asciiTheme="minorEastAsia" w:hAnsiTheme="minorEastAsia" w:eastAsiaTheme="minorEastAsia" w:cstheme="minorEastAsia"/>
          <w:kern w:val="0"/>
          <w:sz w:val="21"/>
          <w:szCs w:val="21"/>
          <w:vertAlign w:val="superscript"/>
        </w:rPr>
        <w:t>1</w:t>
      </w:r>
      <w:r>
        <w:rPr>
          <w:rFonts w:hint="eastAsia" w:asciiTheme="minorEastAsia" w:hAnsiTheme="minorEastAsia" w:eastAsiaTheme="minorEastAsia" w:cstheme="minorEastAsia"/>
          <w:kern w:val="0"/>
          <w:sz w:val="21"/>
          <w:szCs w:val="21"/>
        </w:rPr>
        <w:t>，属于 （</w:t>
      </w:r>
      <w:r>
        <w:rPr>
          <w:rFonts w:hint="eastAsia" w:ascii="宋体" w:hAnsi="宋体" w:eastAsia="宋体" w:cs="宋体"/>
          <w:kern w:val="0"/>
          <w:sz w:val="21"/>
          <w:szCs w:val="21"/>
        </w:rPr>
        <w:t>□</w:t>
      </w:r>
      <w:r>
        <w:rPr>
          <w:rFonts w:hint="eastAsia" w:asciiTheme="minorEastAsia" w:hAnsiTheme="minorEastAsia" w:eastAsiaTheme="minorEastAsia" w:cstheme="minorEastAsia"/>
          <w:kern w:val="0"/>
          <w:sz w:val="21"/>
          <w:szCs w:val="21"/>
          <w:u w:val="single"/>
        </w:rPr>
        <w:t>中型企业、</w:t>
      </w:r>
      <w:r>
        <w:rPr>
          <w:rFonts w:hint="eastAsia" w:ascii="宋体" w:hAnsi="宋体" w:eastAsia="宋体" w:cs="宋体"/>
          <w:kern w:val="0"/>
          <w:sz w:val="21"/>
          <w:szCs w:val="21"/>
        </w:rPr>
        <w:t>□</w:t>
      </w:r>
      <w:r>
        <w:rPr>
          <w:rFonts w:hint="eastAsia" w:asciiTheme="minorEastAsia" w:hAnsiTheme="minorEastAsia" w:eastAsiaTheme="minorEastAsia" w:cstheme="minorEastAsia"/>
          <w:kern w:val="0"/>
          <w:sz w:val="21"/>
          <w:szCs w:val="21"/>
          <w:u w:val="single"/>
        </w:rPr>
        <w:t>小型企业、</w:t>
      </w:r>
      <w:r>
        <w:rPr>
          <w:rFonts w:hint="eastAsia" w:ascii="宋体" w:hAnsi="宋体" w:eastAsia="宋体" w:cs="宋体"/>
          <w:kern w:val="0"/>
          <w:sz w:val="21"/>
          <w:szCs w:val="21"/>
        </w:rPr>
        <w:t>□</w:t>
      </w:r>
      <w:r>
        <w:rPr>
          <w:rFonts w:hint="eastAsia" w:asciiTheme="minorEastAsia" w:hAnsiTheme="minorEastAsia" w:eastAsiaTheme="minorEastAsia" w:cstheme="minorEastAsia"/>
          <w:kern w:val="0"/>
          <w:sz w:val="21"/>
          <w:szCs w:val="21"/>
          <w:u w:val="single"/>
        </w:rPr>
        <w:t>微型企业</w:t>
      </w:r>
      <w:r>
        <w:rPr>
          <w:rFonts w:hint="eastAsia" w:asciiTheme="minorEastAsia" w:hAnsiTheme="minorEastAsia" w:eastAsiaTheme="minorEastAsia" w:cstheme="minorEastAsia"/>
          <w:kern w:val="0"/>
          <w:sz w:val="21"/>
          <w:szCs w:val="21"/>
        </w:rPr>
        <w:t>） ；</w:t>
      </w:r>
    </w:p>
    <w:p>
      <w:pPr>
        <w:widowControl/>
        <w:snapToGrid w:val="0"/>
        <w:spacing w:line="480" w:lineRule="auto"/>
        <w:ind w:firstLine="420"/>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2. </w:t>
      </w:r>
      <w:r>
        <w:rPr>
          <w:rFonts w:hint="eastAsia" w:asciiTheme="minorEastAsia" w:hAnsiTheme="minorEastAsia" w:eastAsiaTheme="minorEastAsia" w:cstheme="minorEastAsia"/>
          <w:kern w:val="0"/>
          <w:sz w:val="21"/>
          <w:szCs w:val="21"/>
          <w:u w:val="single"/>
        </w:rPr>
        <w:t>（标的名称）</w:t>
      </w:r>
      <w:r>
        <w:rPr>
          <w:rFonts w:hint="eastAsia" w:asciiTheme="minorEastAsia" w:hAnsiTheme="minorEastAsia" w:eastAsiaTheme="minorEastAsia" w:cstheme="minorEastAsia"/>
          <w:kern w:val="0"/>
          <w:sz w:val="21"/>
          <w:szCs w:val="21"/>
        </w:rPr>
        <w:t>，属于</w:t>
      </w:r>
      <w:r>
        <w:rPr>
          <w:rFonts w:hint="eastAsia" w:asciiTheme="minorEastAsia" w:hAnsiTheme="minorEastAsia" w:eastAsiaTheme="minorEastAsia" w:cstheme="minorEastAsia"/>
          <w:kern w:val="0"/>
          <w:sz w:val="21"/>
          <w:szCs w:val="21"/>
          <w:u w:val="single"/>
          <w:lang w:val="en-US" w:eastAsia="zh-CN"/>
        </w:rPr>
        <w:t>工业</w:t>
      </w:r>
      <w:r>
        <w:rPr>
          <w:rFonts w:hint="eastAsia" w:asciiTheme="minorEastAsia" w:hAnsiTheme="minorEastAsia" w:eastAsiaTheme="minorEastAsia" w:cstheme="minorEastAsia"/>
          <w:kern w:val="0"/>
          <w:sz w:val="21"/>
          <w:szCs w:val="21"/>
          <w:u w:val="none"/>
          <w:lang w:val="en-US" w:eastAsia="zh-CN"/>
        </w:rPr>
        <w:t>行业</w:t>
      </w:r>
      <w:r>
        <w:rPr>
          <w:rFonts w:hint="eastAsia" w:asciiTheme="minorEastAsia" w:hAnsiTheme="minorEastAsia" w:eastAsiaTheme="minorEastAsia" w:cstheme="minorEastAsia"/>
          <w:kern w:val="0"/>
          <w:sz w:val="21"/>
          <w:szCs w:val="21"/>
        </w:rPr>
        <w:t xml:space="preserve"> ；制造商为</w:t>
      </w:r>
      <w:r>
        <w:rPr>
          <w:rFonts w:hint="eastAsia" w:asciiTheme="minorEastAsia" w:hAnsiTheme="minorEastAsia" w:eastAsiaTheme="minorEastAsia" w:cstheme="minorEastAsia"/>
          <w:kern w:val="0"/>
          <w:sz w:val="21"/>
          <w:szCs w:val="21"/>
          <w:u w:val="single"/>
        </w:rPr>
        <w:t xml:space="preserve"> （企业名称） </w:t>
      </w:r>
      <w:r>
        <w:rPr>
          <w:rFonts w:hint="eastAsia" w:asciiTheme="minorEastAsia" w:hAnsiTheme="minorEastAsia" w:eastAsiaTheme="minorEastAsia" w:cstheme="minorEastAsia"/>
          <w:kern w:val="0"/>
          <w:sz w:val="21"/>
          <w:szCs w:val="21"/>
        </w:rPr>
        <w:t>，从业人员</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人，营业收入为</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万元，资产总额为</w:t>
      </w:r>
      <w:r>
        <w:rPr>
          <w:rFonts w:hint="eastAsia" w:asciiTheme="minorEastAsia" w:hAnsiTheme="minorEastAsia" w:eastAsiaTheme="minorEastAsia" w:cstheme="minorEastAsia"/>
          <w:kern w:val="0"/>
          <w:sz w:val="21"/>
          <w:szCs w:val="21"/>
          <w:u w:val="single"/>
        </w:rPr>
        <w:t xml:space="preserve">      </w:t>
      </w:r>
      <w:r>
        <w:rPr>
          <w:rFonts w:hint="eastAsia" w:asciiTheme="minorEastAsia" w:hAnsiTheme="minorEastAsia" w:eastAsiaTheme="minorEastAsia" w:cstheme="minorEastAsia"/>
          <w:kern w:val="0"/>
          <w:sz w:val="21"/>
          <w:szCs w:val="21"/>
        </w:rPr>
        <w:t>万元</w:t>
      </w:r>
      <w:r>
        <w:rPr>
          <w:rFonts w:hint="eastAsia" w:asciiTheme="minorEastAsia" w:hAnsiTheme="minorEastAsia" w:eastAsiaTheme="minorEastAsia" w:cstheme="minorEastAsia"/>
          <w:kern w:val="0"/>
          <w:sz w:val="21"/>
          <w:szCs w:val="21"/>
          <w:vertAlign w:val="superscript"/>
        </w:rPr>
        <w:t>1</w:t>
      </w:r>
      <w:r>
        <w:rPr>
          <w:rFonts w:hint="eastAsia" w:asciiTheme="minorEastAsia" w:hAnsiTheme="minorEastAsia" w:eastAsiaTheme="minorEastAsia" w:cstheme="minorEastAsia"/>
          <w:kern w:val="0"/>
          <w:sz w:val="21"/>
          <w:szCs w:val="21"/>
        </w:rPr>
        <w:t>，属于 （</w:t>
      </w:r>
      <w:r>
        <w:rPr>
          <w:rFonts w:hint="eastAsia" w:ascii="宋体" w:hAnsi="宋体" w:eastAsia="宋体" w:cs="宋体"/>
          <w:kern w:val="0"/>
          <w:sz w:val="21"/>
          <w:szCs w:val="21"/>
        </w:rPr>
        <w:t>□</w:t>
      </w:r>
      <w:r>
        <w:rPr>
          <w:rFonts w:hint="eastAsia" w:asciiTheme="minorEastAsia" w:hAnsiTheme="minorEastAsia" w:eastAsiaTheme="minorEastAsia" w:cstheme="minorEastAsia"/>
          <w:kern w:val="0"/>
          <w:sz w:val="21"/>
          <w:szCs w:val="21"/>
          <w:u w:val="single"/>
        </w:rPr>
        <w:t>中型企业、</w:t>
      </w:r>
      <w:r>
        <w:rPr>
          <w:rFonts w:hint="eastAsia" w:ascii="宋体" w:hAnsi="宋体" w:eastAsia="宋体" w:cs="宋体"/>
          <w:kern w:val="0"/>
          <w:sz w:val="21"/>
          <w:szCs w:val="21"/>
        </w:rPr>
        <w:t>□</w:t>
      </w:r>
      <w:r>
        <w:rPr>
          <w:rFonts w:hint="eastAsia" w:asciiTheme="minorEastAsia" w:hAnsiTheme="minorEastAsia" w:eastAsiaTheme="minorEastAsia" w:cstheme="minorEastAsia"/>
          <w:kern w:val="0"/>
          <w:sz w:val="21"/>
          <w:szCs w:val="21"/>
          <w:u w:val="single"/>
        </w:rPr>
        <w:t>小型企业、</w:t>
      </w:r>
      <w:r>
        <w:rPr>
          <w:rFonts w:hint="eastAsia" w:ascii="宋体" w:hAnsi="宋体" w:eastAsia="宋体" w:cs="宋体"/>
          <w:kern w:val="0"/>
          <w:sz w:val="21"/>
          <w:szCs w:val="21"/>
        </w:rPr>
        <w:t>□</w:t>
      </w:r>
      <w:r>
        <w:rPr>
          <w:rFonts w:hint="eastAsia" w:asciiTheme="minorEastAsia" w:hAnsiTheme="minorEastAsia" w:eastAsiaTheme="minorEastAsia" w:cstheme="minorEastAsia"/>
          <w:kern w:val="0"/>
          <w:sz w:val="21"/>
          <w:szCs w:val="21"/>
          <w:u w:val="single"/>
        </w:rPr>
        <w:t>微型企业</w:t>
      </w:r>
      <w:r>
        <w:rPr>
          <w:rFonts w:hint="eastAsia" w:asciiTheme="minorEastAsia" w:hAnsiTheme="minorEastAsia" w:eastAsiaTheme="minorEastAsia" w:cstheme="minorEastAsia"/>
          <w:kern w:val="0"/>
          <w:sz w:val="21"/>
          <w:szCs w:val="21"/>
        </w:rPr>
        <w:t>） ；</w:t>
      </w:r>
    </w:p>
    <w:p>
      <w:pPr>
        <w:widowControl/>
        <w:snapToGrid w:val="0"/>
        <w:spacing w:line="480" w:lineRule="auto"/>
        <w:ind w:firstLine="420"/>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p>
    <w:p>
      <w:pPr>
        <w:widowControl/>
        <w:snapToGrid w:val="0"/>
        <w:spacing w:line="480" w:lineRule="auto"/>
        <w:ind w:firstLine="420"/>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以上企业，不属于大企业的分支机构，不存在控股股东为大企业的情形，也不存在与大企业的负责人为同一人的情形。</w:t>
      </w:r>
    </w:p>
    <w:p>
      <w:pPr>
        <w:widowControl/>
        <w:snapToGrid w:val="0"/>
        <w:spacing w:line="480" w:lineRule="auto"/>
        <w:ind w:firstLine="420"/>
        <w:jc w:val="left"/>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本企业对上述声明内容的真实性负责。如有虚假，将依法承担相应责任。</w:t>
      </w:r>
    </w:p>
    <w:p>
      <w:pPr>
        <w:widowControl/>
        <w:snapToGrid w:val="0"/>
        <w:spacing w:line="480" w:lineRule="auto"/>
        <w:ind w:firstLine="420"/>
        <w:jc w:val="right"/>
        <w:rPr>
          <w:rFonts w:asciiTheme="minorEastAsia" w:hAnsiTheme="minorEastAsia" w:eastAsiaTheme="minorEastAsia" w:cstheme="minorEastAsia"/>
          <w:kern w:val="0"/>
          <w:sz w:val="21"/>
          <w:szCs w:val="21"/>
        </w:rPr>
      </w:pPr>
    </w:p>
    <w:p>
      <w:pPr>
        <w:widowControl/>
        <w:snapToGrid w:val="0"/>
        <w:spacing w:line="480" w:lineRule="auto"/>
        <w:ind w:firstLine="420"/>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 xml:space="preserve">                                                                  </w:t>
      </w:r>
      <w:r>
        <w:rPr>
          <w:rFonts w:hint="eastAsia" w:asciiTheme="majorEastAsia" w:hAnsiTheme="majorEastAsia" w:eastAsiaTheme="majorEastAsia" w:cstheme="majorEastAsia"/>
          <w:szCs w:val="21"/>
        </w:rPr>
        <w:t>投标人全称</w:t>
      </w:r>
      <w:r>
        <w:rPr>
          <w:rFonts w:hint="eastAsia" w:asciiTheme="minorEastAsia" w:hAnsiTheme="minorEastAsia" w:eastAsiaTheme="minorEastAsia" w:cstheme="minorEastAsia"/>
          <w:sz w:val="21"/>
          <w:szCs w:val="21"/>
        </w:rPr>
        <w:t>（公章）</w:t>
      </w:r>
      <w:r>
        <w:rPr>
          <w:rFonts w:hint="eastAsia" w:asciiTheme="minorEastAsia" w:hAnsiTheme="minorEastAsia" w:eastAsiaTheme="minorEastAsia" w:cstheme="minorEastAsia"/>
          <w:kern w:val="0"/>
          <w:sz w:val="21"/>
          <w:szCs w:val="21"/>
        </w:rPr>
        <w:t>：</w:t>
      </w:r>
    </w:p>
    <w:p>
      <w:pPr>
        <w:widowControl/>
        <w:snapToGrid w:val="0"/>
        <w:spacing w:line="480" w:lineRule="auto"/>
        <w:ind w:firstLine="420"/>
        <w:jc w:val="center"/>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                                                             </w:t>
      </w:r>
      <w:r>
        <w:rPr>
          <w:rFonts w:hint="eastAsia" w:asciiTheme="majorEastAsia" w:hAnsiTheme="majorEastAsia" w:eastAsiaTheme="majorEastAsia" w:cstheme="majorEastAsia"/>
          <w:szCs w:val="21"/>
        </w:rPr>
        <w:t xml:space="preserve">     日 期：  年  月  日</w:t>
      </w:r>
    </w:p>
    <w:p>
      <w:pPr>
        <w:pStyle w:val="11"/>
        <w:spacing w:line="480" w:lineRule="auto"/>
        <w:rPr>
          <w:rFonts w:asciiTheme="minorEastAsia" w:hAnsiTheme="minorEastAsia" w:eastAsiaTheme="minorEastAsia" w:cstheme="minorEastAsia"/>
          <w:sz w:val="21"/>
          <w:szCs w:val="21"/>
        </w:rPr>
      </w:pPr>
    </w:p>
    <w:p>
      <w:pPr>
        <w:snapToGrid w:val="0"/>
        <w:spacing w:line="480" w:lineRule="auto"/>
        <w:ind w:right="480" w:firstLine="420"/>
        <w:rPr>
          <w:rFonts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zh-CN"/>
        </w:rPr>
        <w:t>注：</w:t>
      </w:r>
      <w:r>
        <w:rPr>
          <w:rFonts w:hint="eastAsia" w:asciiTheme="minorEastAsia" w:hAnsiTheme="minorEastAsia" w:eastAsiaTheme="minorEastAsia" w:cstheme="minorEastAsia"/>
          <w:kern w:val="0"/>
          <w:sz w:val="21"/>
          <w:szCs w:val="21"/>
          <w:vertAlign w:val="superscript"/>
          <w:lang w:val="zh-CN"/>
        </w:rPr>
        <w:t>1</w:t>
      </w:r>
      <w:r>
        <w:rPr>
          <w:rFonts w:hint="eastAsia" w:asciiTheme="minorEastAsia" w:hAnsiTheme="minorEastAsia" w:eastAsiaTheme="minorEastAsia" w:cstheme="minorEastAsia"/>
          <w:kern w:val="0"/>
          <w:sz w:val="21"/>
          <w:szCs w:val="21"/>
          <w:lang w:val="zh-CN"/>
        </w:rPr>
        <w:t>从业人员、营业收入、资产总额填报上一年度数据，无上一年度数据的新成立企业可不填报。</w:t>
      </w:r>
    </w:p>
    <w:p>
      <w:pPr>
        <w:numPr>
          <w:ilvl w:val="0"/>
          <w:numId w:val="10"/>
        </w:numPr>
        <w:snapToGrid w:val="0"/>
        <w:spacing w:line="480" w:lineRule="auto"/>
        <w:ind w:firstLine="420"/>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本项目所属行业见前附表。</w:t>
      </w:r>
    </w:p>
    <w:p>
      <w:pPr>
        <w:pStyle w:val="2"/>
        <w:rPr>
          <w:rFonts w:hint="eastAsia" w:asciiTheme="minorEastAsia" w:hAnsiTheme="minorEastAsia" w:eastAsiaTheme="minorEastAsia" w:cstheme="minorEastAsia"/>
          <w:bCs/>
          <w:sz w:val="21"/>
          <w:szCs w:val="21"/>
        </w:rPr>
      </w:pPr>
    </w:p>
    <w:p>
      <w:pPr>
        <w:pStyle w:val="2"/>
      </w:pPr>
    </w:p>
    <w:p>
      <w:pPr>
        <w:snapToGrid w:val="0"/>
        <w:ind w:firstLine="640"/>
        <w:jc w:val="center"/>
        <w:outlineLvl w:val="0"/>
        <w:rPr>
          <w:rFonts w:hint="eastAsia" w:ascii="华文中宋" w:hAnsi="华文中宋" w:eastAsia="华文中宋" w:cs="微软雅黑"/>
          <w:sz w:val="32"/>
          <w:szCs w:val="32"/>
        </w:rPr>
      </w:pPr>
      <w:bookmarkStart w:id="437" w:name="_Toc10629"/>
      <w:bookmarkStart w:id="438" w:name="_Toc12169"/>
    </w:p>
    <w:p>
      <w:pPr>
        <w:snapToGrid w:val="0"/>
        <w:ind w:firstLine="640"/>
        <w:jc w:val="center"/>
        <w:outlineLvl w:val="0"/>
        <w:rPr>
          <w:rFonts w:ascii="华文中宋" w:hAnsi="华文中宋" w:eastAsia="华文中宋" w:cs="微软雅黑"/>
          <w:sz w:val="32"/>
          <w:szCs w:val="32"/>
        </w:rPr>
      </w:pPr>
      <w:r>
        <w:rPr>
          <w:rFonts w:hint="eastAsia" w:ascii="华文中宋" w:hAnsi="华文中宋" w:eastAsia="华文中宋" w:cs="微软雅黑"/>
          <w:sz w:val="32"/>
          <w:szCs w:val="32"/>
        </w:rPr>
        <w:t>监狱企业声明函</w:t>
      </w:r>
      <w:bookmarkEnd w:id="437"/>
      <w:bookmarkEnd w:id="438"/>
    </w:p>
    <w:p>
      <w:pPr>
        <w:snapToGrid w:val="0"/>
        <w:ind w:firstLine="640"/>
        <w:jc w:val="center"/>
        <w:outlineLvl w:val="0"/>
        <w:rPr>
          <w:rFonts w:ascii="华文中宋" w:hAnsi="华文中宋" w:eastAsia="华文中宋" w:cs="微软雅黑"/>
          <w:sz w:val="32"/>
          <w:szCs w:val="32"/>
        </w:rPr>
      </w:pPr>
      <w:bookmarkStart w:id="439" w:name="_Toc26922"/>
      <w:bookmarkStart w:id="440" w:name="_Toc30066"/>
      <w:r>
        <w:rPr>
          <w:rFonts w:hint="eastAsia" w:ascii="华文中宋" w:hAnsi="华文中宋" w:eastAsia="华文中宋" w:cs="微软雅黑"/>
          <w:sz w:val="32"/>
          <w:szCs w:val="32"/>
        </w:rPr>
        <w:t>【</w:t>
      </w:r>
      <w:r>
        <w:rPr>
          <w:rFonts w:hint="eastAsia" w:ascii="华文中宋" w:hAnsi="华文中宋" w:eastAsia="华文中宋" w:cs="微软雅黑"/>
          <w:sz w:val="28"/>
          <w:szCs w:val="28"/>
        </w:rPr>
        <w:t>非监狱企业不需提供</w:t>
      </w:r>
      <w:r>
        <w:rPr>
          <w:rFonts w:hint="eastAsia" w:ascii="华文中宋" w:hAnsi="华文中宋" w:eastAsia="华文中宋" w:cs="微软雅黑"/>
          <w:sz w:val="32"/>
          <w:szCs w:val="32"/>
        </w:rPr>
        <w:t>】</w:t>
      </w:r>
      <w:bookmarkEnd w:id="439"/>
      <w:bookmarkEnd w:id="440"/>
    </w:p>
    <w:p>
      <w:pPr>
        <w:widowControl/>
        <w:adjustRightInd w:val="0"/>
        <w:snapToGrid w:val="0"/>
        <w:spacing w:line="480" w:lineRule="auto"/>
        <w:ind w:firstLine="42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本企业郑重声明，根据《关于政府采购支持监狱企业发展有关问题的通知》（财库[2014]68号）的规定，本企业为</w:t>
      </w:r>
      <w:r>
        <w:rPr>
          <w:rFonts w:hint="eastAsia" w:asciiTheme="minorEastAsia" w:hAnsiTheme="minorEastAsia" w:eastAsiaTheme="minorEastAsia" w:cstheme="minorEastAsia"/>
          <w:sz w:val="21"/>
          <w:szCs w:val="21"/>
          <w:u w:val="single"/>
        </w:rPr>
        <w:t>监狱企业</w:t>
      </w:r>
      <w:r>
        <w:rPr>
          <w:rFonts w:hint="eastAsia" w:asciiTheme="minorEastAsia" w:hAnsiTheme="minorEastAsia" w:eastAsiaTheme="minorEastAsia" w:cstheme="minorEastAsia"/>
          <w:sz w:val="21"/>
          <w:szCs w:val="21"/>
        </w:rPr>
        <w:t>。</w:t>
      </w:r>
    </w:p>
    <w:p>
      <w:pPr>
        <w:widowControl/>
        <w:adjustRightInd w:val="0"/>
        <w:snapToGrid w:val="0"/>
        <w:spacing w:line="480" w:lineRule="auto"/>
        <w:ind w:firstLine="420"/>
        <w:jc w:val="lef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根据上述标准，我企业属于</w:t>
      </w:r>
      <w:r>
        <w:rPr>
          <w:rFonts w:hint="eastAsia" w:asciiTheme="minorEastAsia" w:hAnsiTheme="minorEastAsia" w:eastAsiaTheme="minorEastAsia" w:cstheme="minorEastAsia"/>
          <w:sz w:val="21"/>
          <w:szCs w:val="21"/>
          <w:u w:val="single"/>
        </w:rPr>
        <w:t>监狱企业</w:t>
      </w:r>
      <w:r>
        <w:rPr>
          <w:rFonts w:hint="eastAsia" w:asciiTheme="minorEastAsia" w:hAnsiTheme="minorEastAsia" w:eastAsiaTheme="minorEastAsia" w:cstheme="minorEastAsia"/>
          <w:sz w:val="21"/>
          <w:szCs w:val="21"/>
        </w:rPr>
        <w:t>的理由为：</w:t>
      </w:r>
    </w:p>
    <w:p>
      <w:pPr>
        <w:widowControl/>
        <w:adjustRightInd w:val="0"/>
        <w:snapToGrid w:val="0"/>
        <w:spacing w:line="48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本企业为参加（项目名称：</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）（项目编号：</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）采购活动提供本企业的产品。</w:t>
      </w:r>
    </w:p>
    <w:p>
      <w:pPr>
        <w:widowControl/>
        <w:adjustRightInd w:val="0"/>
        <w:snapToGrid w:val="0"/>
        <w:spacing w:line="48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本企业对上述声明的真实性负责。如有虚假，将依法承担相应责任。</w:t>
      </w:r>
    </w:p>
    <w:p>
      <w:pPr>
        <w:snapToGrid w:val="0"/>
        <w:spacing w:line="480" w:lineRule="auto"/>
        <w:ind w:firstLine="480"/>
        <w:rPr>
          <w:rFonts w:asciiTheme="minorEastAsia" w:hAnsiTheme="minorEastAsia" w:eastAsiaTheme="minorEastAsia" w:cstheme="minorEastAsia"/>
          <w:lang w:val="zh-CN"/>
        </w:rPr>
      </w:pPr>
    </w:p>
    <w:p>
      <w:pPr>
        <w:snapToGrid w:val="0"/>
        <w:spacing w:line="480" w:lineRule="auto"/>
        <w:ind w:firstLine="480"/>
        <w:rPr>
          <w:rFonts w:asciiTheme="minorEastAsia" w:hAnsiTheme="minorEastAsia" w:eastAsiaTheme="minorEastAsia" w:cstheme="minorEastAsia"/>
          <w:lang w:val="zh-CN"/>
        </w:rPr>
      </w:pPr>
    </w:p>
    <w:p>
      <w:pPr>
        <w:snapToGrid w:val="0"/>
        <w:spacing w:line="480" w:lineRule="auto"/>
        <w:ind w:firstLine="480"/>
        <w:rPr>
          <w:rFonts w:asciiTheme="minorEastAsia" w:hAnsiTheme="minorEastAsia" w:eastAsiaTheme="minorEastAsia" w:cstheme="minorEastAsia"/>
          <w:lang w:val="zh-CN"/>
        </w:rPr>
      </w:pPr>
    </w:p>
    <w:p>
      <w:pPr>
        <w:adjustRightInd w:val="0"/>
        <w:snapToGrid w:val="0"/>
        <w:spacing w:line="480" w:lineRule="auto"/>
        <w:ind w:firstLine="720" w:firstLineChars="300"/>
        <w:jc w:val="center"/>
        <w:rPr>
          <w:rFonts w:asciiTheme="minorEastAsia" w:hAnsiTheme="minorEastAsia" w:eastAsiaTheme="minorEastAsia" w:cstheme="minorEastAsia"/>
          <w:sz w:val="21"/>
          <w:szCs w:val="21"/>
        </w:rPr>
      </w:pPr>
      <w:r>
        <w:rPr>
          <w:rFonts w:hint="eastAsia" w:asciiTheme="majorEastAsia" w:hAnsiTheme="majorEastAsia" w:eastAsiaTheme="majorEastAsia" w:cstheme="majorEastAsia"/>
          <w:szCs w:val="21"/>
        </w:rPr>
        <w:t xml:space="preserve">                                         </w:t>
      </w:r>
      <w:r>
        <w:rPr>
          <w:rFonts w:hint="eastAsia" w:asciiTheme="majorEastAsia" w:hAnsiTheme="majorEastAsia" w:eastAsiaTheme="majorEastAsia" w:cstheme="majorEastAsia"/>
          <w:sz w:val="21"/>
          <w:szCs w:val="21"/>
        </w:rPr>
        <w:t xml:space="preserve">  投标人全称</w:t>
      </w:r>
      <w:r>
        <w:rPr>
          <w:rFonts w:hint="eastAsia" w:asciiTheme="minorEastAsia" w:hAnsiTheme="minorEastAsia" w:eastAsiaTheme="minorEastAsia" w:cstheme="minorEastAsia"/>
          <w:sz w:val="21"/>
          <w:szCs w:val="21"/>
        </w:rPr>
        <w:t>（盖章）：</w:t>
      </w:r>
    </w:p>
    <w:p>
      <w:pPr>
        <w:snapToGrid w:val="0"/>
        <w:spacing w:line="312" w:lineRule="auto"/>
        <w:ind w:firstLine="2940" w:firstLineChars="1400"/>
        <w:rPr>
          <w:rFonts w:ascii="华文中宋" w:hAnsi="华文中宋" w:eastAsia="华文中宋"/>
          <w:sz w:val="21"/>
          <w:szCs w:val="21"/>
          <w:lang w:val="zh-CN"/>
        </w:rPr>
      </w:pPr>
      <w:r>
        <w:rPr>
          <w:rFonts w:hint="eastAsia" w:asciiTheme="majorEastAsia" w:hAnsiTheme="majorEastAsia" w:eastAsiaTheme="majorEastAsia" w:cstheme="majorEastAsia"/>
          <w:sz w:val="21"/>
          <w:szCs w:val="21"/>
        </w:rPr>
        <w:t xml:space="preserve">                           日 期：  年  月  日</w:t>
      </w:r>
    </w:p>
    <w:p>
      <w:pPr>
        <w:snapToGrid w:val="0"/>
        <w:spacing w:line="312" w:lineRule="auto"/>
        <w:ind w:firstLine="480"/>
        <w:rPr>
          <w:rFonts w:ascii="华文中宋" w:hAnsi="华文中宋" w:eastAsia="华文中宋"/>
          <w:lang w:val="zh-CN"/>
        </w:rPr>
      </w:pPr>
    </w:p>
    <w:p>
      <w:pPr>
        <w:snapToGrid w:val="0"/>
        <w:spacing w:line="312" w:lineRule="auto"/>
        <w:ind w:firstLine="480"/>
        <w:rPr>
          <w:rFonts w:ascii="华文中宋" w:hAnsi="华文中宋" w:eastAsia="华文中宋"/>
          <w:lang w:val="zh-CN"/>
        </w:rPr>
      </w:pPr>
    </w:p>
    <w:p>
      <w:pPr>
        <w:widowControl/>
        <w:snapToGrid w:val="0"/>
        <w:spacing w:line="480" w:lineRule="exact"/>
        <w:ind w:firstLine="420"/>
        <w:rPr>
          <w:rFonts w:ascii="华文中宋" w:hAnsi="华文中宋" w:eastAsia="华文中宋" w:cs="宋体"/>
          <w:sz w:val="21"/>
          <w:szCs w:val="21"/>
        </w:rPr>
      </w:pPr>
      <w:r>
        <w:rPr>
          <w:rFonts w:hint="eastAsia" w:ascii="华文中宋" w:hAnsi="华文中宋" w:eastAsia="华文中宋" w:cs="宋体"/>
          <w:sz w:val="21"/>
          <w:szCs w:val="21"/>
        </w:rPr>
        <w:t>供应商为监狱企业的提供此函。</w:t>
      </w:r>
    </w:p>
    <w:p>
      <w:pPr>
        <w:widowControl/>
        <w:snapToGrid w:val="0"/>
        <w:spacing w:line="480" w:lineRule="exact"/>
        <w:ind w:firstLine="420"/>
        <w:rPr>
          <w:rFonts w:ascii="华文中宋" w:hAnsi="华文中宋" w:eastAsia="华文中宋" w:cs="宋体"/>
          <w:sz w:val="21"/>
          <w:szCs w:val="21"/>
        </w:rPr>
      </w:pPr>
      <w:r>
        <w:rPr>
          <w:rFonts w:hint="eastAsia" w:ascii="华文中宋" w:hAnsi="华文中宋" w:eastAsia="华文中宋" w:cs="宋体"/>
          <w:sz w:val="21"/>
          <w:szCs w:val="21"/>
        </w:rPr>
        <w:t>监狱企业参加政府采购活动时，应当提供由省级以上监狱管理局、戒毒管理局（含新疆生产建设兵团）出具的属于监狱企业的证明文件。</w:t>
      </w:r>
    </w:p>
    <w:p>
      <w:pPr>
        <w:spacing w:line="360" w:lineRule="auto"/>
        <w:ind w:firstLine="420"/>
        <w:rPr>
          <w:sz w:val="21"/>
          <w:szCs w:val="21"/>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pStyle w:val="34"/>
        <w:ind w:firstLine="480"/>
      </w:pPr>
    </w:p>
    <w:p>
      <w:pPr>
        <w:pStyle w:val="36"/>
        <w:ind w:firstLine="0" w:firstLineChars="0"/>
        <w:rPr>
          <w:rFonts w:ascii="宋体" w:hAnsi="宋体"/>
        </w:rPr>
      </w:pPr>
    </w:p>
    <w:p>
      <w:pPr>
        <w:snapToGrid w:val="0"/>
        <w:ind w:firstLine="640"/>
        <w:jc w:val="center"/>
        <w:outlineLvl w:val="0"/>
        <w:rPr>
          <w:rFonts w:ascii="华文中宋" w:hAnsi="华文中宋" w:eastAsia="华文中宋" w:cs="微软雅黑"/>
          <w:sz w:val="32"/>
          <w:szCs w:val="32"/>
        </w:rPr>
      </w:pPr>
      <w:bookmarkStart w:id="441" w:name="_Toc25359"/>
      <w:bookmarkStart w:id="442" w:name="_Toc8412"/>
      <w:r>
        <w:rPr>
          <w:rFonts w:hint="eastAsia" w:ascii="华文中宋" w:hAnsi="华文中宋" w:eastAsia="华文中宋" w:cs="微软雅黑"/>
          <w:sz w:val="32"/>
          <w:szCs w:val="32"/>
        </w:rPr>
        <w:t>残疾人福利性单位声明函</w:t>
      </w:r>
      <w:bookmarkEnd w:id="441"/>
      <w:bookmarkEnd w:id="442"/>
    </w:p>
    <w:p>
      <w:pPr>
        <w:snapToGrid w:val="0"/>
        <w:ind w:firstLine="640"/>
        <w:jc w:val="center"/>
        <w:outlineLvl w:val="0"/>
        <w:rPr>
          <w:rFonts w:ascii="华文中宋" w:hAnsi="华文中宋" w:eastAsia="华文中宋" w:cs="微软雅黑"/>
          <w:sz w:val="32"/>
          <w:szCs w:val="32"/>
        </w:rPr>
      </w:pPr>
      <w:bookmarkStart w:id="443" w:name="_Toc6168"/>
      <w:bookmarkStart w:id="444" w:name="_Toc12885"/>
      <w:r>
        <w:rPr>
          <w:rFonts w:hint="eastAsia" w:ascii="华文中宋" w:hAnsi="华文中宋" w:eastAsia="华文中宋" w:cs="微软雅黑"/>
          <w:sz w:val="32"/>
          <w:szCs w:val="32"/>
        </w:rPr>
        <w:t>【</w:t>
      </w:r>
      <w:r>
        <w:rPr>
          <w:rFonts w:hint="eastAsia" w:ascii="华文中宋" w:hAnsi="华文中宋" w:eastAsia="华文中宋" w:cs="微软雅黑"/>
          <w:sz w:val="28"/>
          <w:szCs w:val="28"/>
        </w:rPr>
        <w:t>非残疾人福利性单位不需提供</w:t>
      </w:r>
      <w:r>
        <w:rPr>
          <w:rFonts w:hint="eastAsia" w:ascii="华文中宋" w:hAnsi="华文中宋" w:eastAsia="华文中宋" w:cs="微软雅黑"/>
          <w:sz w:val="32"/>
          <w:szCs w:val="32"/>
        </w:rPr>
        <w:t>】</w:t>
      </w:r>
      <w:bookmarkEnd w:id="443"/>
      <w:bookmarkEnd w:id="444"/>
    </w:p>
    <w:p>
      <w:pPr>
        <w:snapToGrid w:val="0"/>
        <w:spacing w:line="600" w:lineRule="auto"/>
        <w:ind w:firstLine="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本单位郑重声明，根据《财政部民政部中国残疾人联合会关于促进残疾人就业政府采购政策的通知》（财库〔2017〕141号）的规定，本单位为符合条件的残疾人福利性单位，且本单位参加</w:t>
      </w:r>
      <w:r>
        <w:rPr>
          <w:rFonts w:hint="eastAsia" w:asciiTheme="majorEastAsia" w:hAnsiTheme="majorEastAsia" w:eastAsiaTheme="majorEastAsia" w:cstheme="majorEastAsia"/>
          <w:sz w:val="21"/>
          <w:szCs w:val="21"/>
          <w:u w:val="single"/>
        </w:rPr>
        <w:t>（采购人名称）</w:t>
      </w:r>
      <w:r>
        <w:rPr>
          <w:rFonts w:hint="eastAsia" w:asciiTheme="majorEastAsia" w:hAnsiTheme="majorEastAsia" w:eastAsiaTheme="majorEastAsia" w:cstheme="majorEastAsia"/>
          <w:sz w:val="21"/>
          <w:szCs w:val="21"/>
        </w:rPr>
        <w:t>单位的</w:t>
      </w:r>
      <w:r>
        <w:rPr>
          <w:rFonts w:hint="eastAsia" w:asciiTheme="majorEastAsia" w:hAnsiTheme="majorEastAsia" w:eastAsiaTheme="majorEastAsia" w:cstheme="majorEastAsia"/>
          <w:sz w:val="21"/>
          <w:szCs w:val="21"/>
          <w:u w:val="single"/>
        </w:rPr>
        <w:t>（项目名称）</w:t>
      </w:r>
      <w:r>
        <w:rPr>
          <w:rFonts w:hint="eastAsia" w:asciiTheme="majorEastAsia" w:hAnsiTheme="majorEastAsia" w:eastAsiaTheme="majorEastAsia" w:cstheme="majorEastAsia"/>
          <w:sz w:val="21"/>
          <w:szCs w:val="21"/>
        </w:rPr>
        <w:t>项目采购活动提供本单位制造的货物（由本单位承担工程/提供服务），或者提供其他残疾人福利性单位制造的货物（不包括使用非残疾人福利性单位注册商标的货物）。</w:t>
      </w:r>
    </w:p>
    <w:p>
      <w:pPr>
        <w:snapToGrid w:val="0"/>
        <w:spacing w:line="600" w:lineRule="auto"/>
        <w:ind w:firstLine="42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本单位对上述声明的真实性负责。如有虚假，将依法承担相应责任。</w:t>
      </w:r>
    </w:p>
    <w:p>
      <w:pPr>
        <w:ind w:left="480" w:firstLine="0" w:firstLineChars="0"/>
        <w:rPr>
          <w:sz w:val="21"/>
          <w:szCs w:val="21"/>
        </w:rPr>
      </w:pPr>
    </w:p>
    <w:p>
      <w:pPr>
        <w:ind w:left="480" w:firstLine="0" w:firstLineChars="0"/>
        <w:rPr>
          <w:sz w:val="21"/>
          <w:szCs w:val="21"/>
        </w:rPr>
      </w:pPr>
    </w:p>
    <w:p>
      <w:pPr>
        <w:pStyle w:val="50"/>
        <w:ind w:left="960" w:firstLine="420"/>
        <w:rPr>
          <w:sz w:val="21"/>
          <w:szCs w:val="21"/>
          <w:lang w:val="zh-CN"/>
        </w:rPr>
      </w:pPr>
    </w:p>
    <w:p>
      <w:pPr>
        <w:adjustRightInd w:val="0"/>
        <w:snapToGrid w:val="0"/>
        <w:spacing w:line="480" w:lineRule="auto"/>
        <w:ind w:firstLine="630" w:firstLineChars="300"/>
        <w:jc w:val="center"/>
        <w:rPr>
          <w:rFonts w:asciiTheme="minorEastAsia" w:hAnsiTheme="minorEastAsia" w:eastAsiaTheme="minorEastAsia" w:cstheme="minorEastAsia"/>
          <w:sz w:val="21"/>
          <w:szCs w:val="21"/>
        </w:rPr>
      </w:pPr>
      <w:r>
        <w:rPr>
          <w:rFonts w:hint="eastAsia" w:asciiTheme="majorEastAsia" w:hAnsiTheme="majorEastAsia" w:eastAsiaTheme="majorEastAsia" w:cstheme="majorEastAsia"/>
          <w:sz w:val="21"/>
          <w:szCs w:val="21"/>
        </w:rPr>
        <w:t xml:space="preserve">                                           投标人全称</w:t>
      </w:r>
      <w:r>
        <w:rPr>
          <w:rFonts w:hint="eastAsia" w:asciiTheme="minorEastAsia" w:hAnsiTheme="minorEastAsia" w:eastAsiaTheme="minorEastAsia" w:cstheme="minorEastAsia"/>
          <w:sz w:val="21"/>
          <w:szCs w:val="21"/>
        </w:rPr>
        <w:t>（盖章）：</w:t>
      </w:r>
    </w:p>
    <w:p>
      <w:pPr>
        <w:snapToGrid w:val="0"/>
        <w:spacing w:line="312" w:lineRule="auto"/>
        <w:ind w:firstLine="2940" w:firstLineChars="1400"/>
        <w:rPr>
          <w:rFonts w:ascii="华文中宋" w:hAnsi="华文中宋" w:eastAsia="华文中宋"/>
          <w:sz w:val="21"/>
          <w:szCs w:val="21"/>
          <w:lang w:val="zh-CN"/>
        </w:rPr>
      </w:pPr>
      <w:r>
        <w:rPr>
          <w:rFonts w:hint="eastAsia" w:asciiTheme="majorEastAsia" w:hAnsiTheme="majorEastAsia" w:eastAsiaTheme="majorEastAsia" w:cstheme="majorEastAsia"/>
          <w:sz w:val="21"/>
          <w:szCs w:val="21"/>
        </w:rPr>
        <w:t xml:space="preserve">                           日 期：  年  月  日</w:t>
      </w:r>
    </w:p>
    <w:p>
      <w:pPr>
        <w:snapToGrid w:val="0"/>
        <w:spacing w:line="312" w:lineRule="auto"/>
        <w:ind w:firstLine="480"/>
        <w:rPr>
          <w:rFonts w:ascii="华文中宋" w:hAnsi="华文中宋" w:eastAsia="华文中宋"/>
          <w:lang w:val="zh-CN"/>
        </w:rPr>
      </w:pPr>
    </w:p>
    <w:p>
      <w:pPr>
        <w:snapToGrid w:val="0"/>
        <w:spacing w:line="312" w:lineRule="auto"/>
        <w:ind w:firstLine="480"/>
        <w:rPr>
          <w:rFonts w:ascii="华文中宋" w:hAnsi="华文中宋" w:eastAsia="华文中宋"/>
          <w:lang w:val="zh-CN"/>
        </w:rPr>
      </w:pPr>
    </w:p>
    <w:p>
      <w:pPr>
        <w:snapToGrid w:val="0"/>
        <w:spacing w:line="312" w:lineRule="auto"/>
        <w:ind w:firstLine="480"/>
        <w:rPr>
          <w:rFonts w:ascii="华文中宋" w:hAnsi="华文中宋" w:eastAsia="华文中宋"/>
          <w:lang w:val="zh-CN"/>
        </w:rPr>
      </w:pPr>
    </w:p>
    <w:p>
      <w:pPr>
        <w:widowControl/>
        <w:snapToGrid w:val="0"/>
        <w:spacing w:line="480" w:lineRule="exact"/>
        <w:ind w:firstLine="420"/>
        <w:rPr>
          <w:rFonts w:ascii="华文中宋" w:hAnsi="华文中宋" w:eastAsia="华文中宋" w:cs="宋体"/>
          <w:sz w:val="21"/>
          <w:szCs w:val="21"/>
        </w:rPr>
      </w:pPr>
      <w:r>
        <w:rPr>
          <w:rFonts w:hint="eastAsia" w:ascii="华文中宋" w:hAnsi="华文中宋" w:eastAsia="华文中宋" w:cs="宋体"/>
          <w:sz w:val="21"/>
          <w:szCs w:val="21"/>
        </w:rPr>
        <w:t>供应商为残疾人福利性单位的提供此函。</w:t>
      </w:r>
    </w:p>
    <w:p>
      <w:pPr>
        <w:widowControl/>
        <w:snapToGrid w:val="0"/>
        <w:spacing w:line="480" w:lineRule="exact"/>
        <w:ind w:firstLine="420"/>
        <w:rPr>
          <w:rFonts w:ascii="华文中宋" w:hAnsi="华文中宋" w:eastAsia="华文中宋" w:cs="宋体"/>
          <w:sz w:val="21"/>
          <w:szCs w:val="21"/>
        </w:rPr>
      </w:pPr>
      <w:r>
        <w:rPr>
          <w:rFonts w:hint="eastAsia" w:ascii="华文中宋" w:hAnsi="华文中宋" w:eastAsia="华文中宋" w:cs="宋体"/>
          <w:sz w:val="21"/>
          <w:szCs w:val="21"/>
        </w:rPr>
        <w:t>备注：中标供应商为残疾人福利性单位的，应当随中标结果同时公告其《残疾人福利性单位声明函》，接受社会监督。</w:t>
      </w:r>
    </w:p>
    <w:p>
      <w:pPr>
        <w:ind w:firstLine="723"/>
        <w:jc w:val="center"/>
        <w:rPr>
          <w:b/>
          <w:bCs/>
          <w:sz w:val="36"/>
          <w:szCs w:val="36"/>
        </w:rPr>
      </w:pPr>
    </w:p>
    <w:p>
      <w:pPr>
        <w:ind w:firstLine="723"/>
        <w:jc w:val="center"/>
        <w:rPr>
          <w:b/>
          <w:bCs/>
          <w:sz w:val="36"/>
          <w:szCs w:val="36"/>
        </w:rPr>
      </w:pPr>
    </w:p>
    <w:p>
      <w:pPr>
        <w:ind w:firstLine="723"/>
        <w:jc w:val="center"/>
        <w:rPr>
          <w:b/>
          <w:bCs/>
          <w:sz w:val="36"/>
          <w:szCs w:val="36"/>
        </w:rPr>
      </w:pPr>
    </w:p>
    <w:p>
      <w:pPr>
        <w:ind w:firstLine="723"/>
        <w:jc w:val="center"/>
        <w:rPr>
          <w:b/>
          <w:bCs/>
          <w:sz w:val="36"/>
          <w:szCs w:val="36"/>
        </w:rPr>
      </w:pPr>
    </w:p>
    <w:p>
      <w:pPr>
        <w:ind w:firstLine="723"/>
        <w:jc w:val="center"/>
        <w:rPr>
          <w:b/>
          <w:bCs/>
          <w:sz w:val="36"/>
          <w:szCs w:val="36"/>
        </w:rPr>
      </w:pPr>
    </w:p>
    <w:p>
      <w:pPr>
        <w:ind w:firstLine="0" w:firstLineChars="0"/>
        <w:rPr>
          <w:b/>
          <w:bCs/>
          <w:sz w:val="36"/>
          <w:szCs w:val="36"/>
        </w:rPr>
      </w:pPr>
    </w:p>
    <w:sectPr>
      <w:footerReference r:id="rId11" w:type="default"/>
      <w:pgSz w:w="11906" w:h="16838"/>
      <w:pgMar w:top="1145" w:right="1310" w:bottom="1053" w:left="1298" w:header="907" w:footer="992" w:gutter="0"/>
      <w:pgNumType w:start="2"/>
      <w:cols w:space="720" w:num="1"/>
      <w:docGrid w:type="lines" w:linePitch="3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_GB2312">
    <w:altName w:val="Segoe Print"/>
    <w:panose1 w:val="020B0604020202020204"/>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19F" w:csb1="0000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ind w:firstLine="360"/>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4"/>
                      <w:ind w:firstLine="360"/>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top w:val="none" w:color="auto" w:sz="0" w:space="0"/>
        <w:left w:val="none" w:color="auto" w:sz="0" w:space="0"/>
        <w:bottom w:val="single" w:color="FF0000" w:sz="4" w:space="0"/>
        <w:right w:val="none" w:color="auto" w:sz="0" w:space="0"/>
      </w:pBdr>
      <w:ind w:firstLine="0" w:firstLineChars="0"/>
      <w:rPr>
        <w:rFonts w:hint="eastAsia" w:eastAsia="仿宋"/>
        <w:lang w:eastAsia="zh-CN"/>
      </w:rPr>
    </w:pPr>
    <w:r>
      <w:rPr>
        <w:rFonts w:hint="eastAsia" w:ascii="仿宋" w:hAnsi="仿宋" w:cs="仿宋"/>
        <w:b/>
        <w:bCs/>
      </w:rPr>
      <w:t xml:space="preserve"> </w:t>
    </w:r>
    <w:r>
      <w:rPr>
        <w:rFonts w:hint="eastAsia" w:ascii="仿宋" w:hAnsi="仿宋" w:cs="仿宋"/>
        <w:b/>
        <w:bCs/>
        <w:lang w:eastAsia="zh-CN"/>
      </w:rPr>
      <w:t>2025年农村供水哈夫节采购项目</w:t>
    </w:r>
    <w:r>
      <w:rPr>
        <w:rFonts w:ascii="仿宋" w:hAnsi="仿宋" w:cs="仿宋"/>
        <w:b/>
        <w:bCs/>
      </w:rPr>
      <w:t xml:space="preserve"> </w:t>
    </w:r>
    <w:r>
      <w:rPr>
        <w:rFonts w:hint="eastAsia" w:ascii="仿宋" w:hAnsi="仿宋" w:cs="仿宋"/>
        <w:b/>
        <w:bCs/>
      </w:rPr>
      <w:t xml:space="preserve">                         </w:t>
    </w:r>
    <w:r>
      <w:rPr>
        <w:rFonts w:hint="eastAsia" w:ascii="仿宋" w:hAnsi="仿宋" w:cs="仿宋"/>
        <w:b/>
        <w:bCs/>
        <w:lang w:val="en-US" w:eastAsia="zh-CN"/>
      </w:rPr>
      <w:t xml:space="preserve">              </w:t>
    </w:r>
    <w:r>
      <w:rPr>
        <w:rFonts w:hint="eastAsia" w:ascii="仿宋" w:hAnsi="仿宋" w:cs="仿宋"/>
        <w:b/>
        <w:bCs/>
      </w:rPr>
      <w:t xml:space="preserve">    </w:t>
    </w:r>
    <w:r>
      <w:rPr>
        <w:rFonts w:ascii="仿宋" w:hAnsi="仿宋" w:cs="仿宋"/>
        <w:b/>
        <w:bCs/>
      </w:rPr>
      <w:t xml:space="preserve"> </w:t>
    </w:r>
    <w:r>
      <w:rPr>
        <w:rFonts w:hint="eastAsia" w:ascii="仿宋" w:hAnsi="仿宋" w:cs="仿宋"/>
        <w:b/>
        <w:bCs/>
      </w:rPr>
      <w:t xml:space="preserve">采购编号： </w:t>
    </w:r>
    <w:r>
      <w:rPr>
        <w:rFonts w:hint="eastAsia" w:ascii="仿宋" w:hAnsi="仿宋" w:cs="仿宋"/>
        <w:b/>
        <w:bCs/>
        <w:lang w:eastAsia="zh-CN"/>
      </w:rPr>
      <w:t xml:space="preserve">LYCG2025TY-018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58719"/>
    <w:multiLevelType w:val="singleLevel"/>
    <w:tmpl w:val="8CC58719"/>
    <w:lvl w:ilvl="0" w:tentative="0">
      <w:start w:val="1"/>
      <w:numFmt w:val="decimal"/>
      <w:suff w:val="nothing"/>
      <w:lvlText w:val="%1、"/>
      <w:lvlJc w:val="left"/>
    </w:lvl>
  </w:abstractNum>
  <w:abstractNum w:abstractNumId="1">
    <w:nsid w:val="F49B27EF"/>
    <w:multiLevelType w:val="singleLevel"/>
    <w:tmpl w:val="F49B27EF"/>
    <w:lvl w:ilvl="0" w:tentative="0">
      <w:start w:val="2"/>
      <w:numFmt w:val="decimal"/>
      <w:lvlText w:val="%1."/>
      <w:lvlJc w:val="left"/>
      <w:pPr>
        <w:tabs>
          <w:tab w:val="left" w:pos="312"/>
        </w:tabs>
      </w:pPr>
    </w:lvl>
  </w:abstractNum>
  <w:abstractNum w:abstractNumId="2">
    <w:nsid w:val="050C9FDA"/>
    <w:multiLevelType w:val="singleLevel"/>
    <w:tmpl w:val="050C9FDA"/>
    <w:lvl w:ilvl="0" w:tentative="0">
      <w:start w:val="2"/>
      <w:numFmt w:val="decimal"/>
      <w:lvlText w:val="%1."/>
      <w:lvlJc w:val="left"/>
      <w:pPr>
        <w:tabs>
          <w:tab w:val="left" w:pos="312"/>
        </w:tabs>
      </w:pPr>
    </w:lvl>
  </w:abstractNum>
  <w:abstractNum w:abstractNumId="3">
    <w:nsid w:val="1F4131A0"/>
    <w:multiLevelType w:val="multilevel"/>
    <w:tmpl w:val="1F4131A0"/>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firstLine="567"/>
      </w:pPr>
      <w:rPr>
        <w:rFonts w:hint="eastAsia"/>
        <w:b w:val="0"/>
        <w:bCs w:val="0"/>
        <w:i w:val="0"/>
        <w:iCs w:val="0"/>
      </w:rPr>
    </w:lvl>
    <w:lvl w:ilvl="2" w:tentative="0">
      <w:start w:val="1"/>
      <w:numFmt w:val="decimal"/>
      <w:suff w:val="nothing"/>
      <w:lvlText w:val="%2.%3"/>
      <w:lvlJc w:val="left"/>
      <w:pPr>
        <w:ind w:firstLine="567"/>
      </w:pPr>
      <w:rPr>
        <w:rFonts w:hint="eastAsia"/>
        <w:b w:val="0"/>
        <w:bCs w:val="0"/>
      </w:rPr>
    </w:lvl>
    <w:lvl w:ilvl="3" w:tentative="0">
      <w:start w:val="1"/>
      <w:numFmt w:val="decimal"/>
      <w:suff w:val="nothing"/>
      <w:lvlText w:val="%2.%3.%4"/>
      <w:lvlJc w:val="left"/>
      <w:pPr>
        <w:ind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23A9367E"/>
    <w:multiLevelType w:val="multilevel"/>
    <w:tmpl w:val="23A9367E"/>
    <w:lvl w:ilvl="0" w:tentative="0">
      <w:start w:val="6"/>
      <w:numFmt w:val="chineseCountingThousand"/>
      <w:suff w:val="space"/>
      <w:lvlText w:val="%1"/>
      <w:lvlJc w:val="left"/>
      <w:pPr>
        <w:ind w:left="425" w:firstLine="142"/>
      </w:pPr>
      <w:rPr>
        <w:rFonts w:hint="eastAsia"/>
      </w:rPr>
    </w:lvl>
    <w:lvl w:ilvl="1" w:tentative="0">
      <w:start w:val="20"/>
      <w:numFmt w:val="decimal"/>
      <w:suff w:val="space"/>
      <w:lvlText w:val="%2"/>
      <w:lvlJc w:val="left"/>
      <w:pPr>
        <w:ind w:firstLine="567"/>
      </w:pPr>
      <w:rPr>
        <w:rFonts w:hint="eastAsia"/>
        <w:b w:val="0"/>
        <w:bCs w:val="0"/>
        <w:i w:val="0"/>
        <w:iCs w:val="0"/>
      </w:rPr>
    </w:lvl>
    <w:lvl w:ilvl="2" w:tentative="0">
      <w:start w:val="1"/>
      <w:numFmt w:val="decimal"/>
      <w:suff w:val="nothing"/>
      <w:lvlText w:val="%2.%3"/>
      <w:lvlJc w:val="left"/>
      <w:pPr>
        <w:ind w:firstLine="567"/>
      </w:pPr>
      <w:rPr>
        <w:rFonts w:hint="eastAsia"/>
        <w:b w:val="0"/>
        <w:bCs w:val="0"/>
      </w:rPr>
    </w:lvl>
    <w:lvl w:ilvl="3" w:tentative="0">
      <w:start w:val="1"/>
      <w:numFmt w:val="decimal"/>
      <w:suff w:val="nothing"/>
      <w:lvlText w:val="%2.%3.%4"/>
      <w:lvlJc w:val="left"/>
      <w:pPr>
        <w:ind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26E719CE"/>
    <w:multiLevelType w:val="multilevel"/>
    <w:tmpl w:val="26E719CE"/>
    <w:lvl w:ilvl="0" w:tentative="0">
      <w:start w:val="5"/>
      <w:numFmt w:val="chineseCountingThousand"/>
      <w:suff w:val="space"/>
      <w:lvlText w:val="%1"/>
      <w:lvlJc w:val="left"/>
      <w:pPr>
        <w:ind w:left="425" w:firstLine="142"/>
      </w:pPr>
      <w:rPr>
        <w:rFonts w:hint="eastAsia"/>
      </w:rPr>
    </w:lvl>
    <w:lvl w:ilvl="1" w:tentative="0">
      <w:start w:val="16"/>
      <w:numFmt w:val="decimal"/>
      <w:suff w:val="space"/>
      <w:lvlText w:val="%2."/>
      <w:lvlJc w:val="left"/>
      <w:pPr>
        <w:ind w:firstLine="567"/>
      </w:pPr>
      <w:rPr>
        <w:rFonts w:hint="eastAsia"/>
        <w:b w:val="0"/>
        <w:bCs w:val="0"/>
        <w:i w:val="0"/>
        <w:iCs w:val="0"/>
      </w:rPr>
    </w:lvl>
    <w:lvl w:ilvl="2" w:tentative="0">
      <w:start w:val="1"/>
      <w:numFmt w:val="decimal"/>
      <w:suff w:val="nothing"/>
      <w:lvlText w:val="%2.%3"/>
      <w:lvlJc w:val="left"/>
      <w:pPr>
        <w:ind w:firstLine="567"/>
      </w:pPr>
      <w:rPr>
        <w:rFonts w:hint="eastAsia"/>
      </w:rPr>
    </w:lvl>
    <w:lvl w:ilvl="3" w:tentative="0">
      <w:start w:val="1"/>
      <w:numFmt w:val="decimal"/>
      <w:suff w:val="nothing"/>
      <w:lvlText w:val="%2.%3.%4"/>
      <w:lvlJc w:val="left"/>
      <w:pPr>
        <w:ind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2F36578C"/>
    <w:multiLevelType w:val="multilevel"/>
    <w:tmpl w:val="2F36578C"/>
    <w:lvl w:ilvl="0" w:tentative="0">
      <w:start w:val="4"/>
      <w:numFmt w:val="chineseCountingThousand"/>
      <w:suff w:val="space"/>
      <w:lvlText w:val="%1"/>
      <w:lvlJc w:val="left"/>
      <w:pPr>
        <w:ind w:left="425" w:firstLine="142"/>
      </w:pPr>
      <w:rPr>
        <w:rFonts w:hint="eastAsia"/>
      </w:rPr>
    </w:lvl>
    <w:lvl w:ilvl="1" w:tentative="0">
      <w:start w:val="11"/>
      <w:numFmt w:val="decimal"/>
      <w:suff w:val="space"/>
      <w:lvlText w:val="%2."/>
      <w:lvlJc w:val="left"/>
      <w:pPr>
        <w:ind w:firstLine="567"/>
      </w:pPr>
      <w:rPr>
        <w:rFonts w:hint="eastAsia"/>
        <w:b w:val="0"/>
        <w:bCs w:val="0"/>
        <w:i w:val="0"/>
        <w:iCs w:val="0"/>
      </w:rPr>
    </w:lvl>
    <w:lvl w:ilvl="2" w:tentative="0">
      <w:start w:val="1"/>
      <w:numFmt w:val="decimal"/>
      <w:suff w:val="space"/>
      <w:lvlText w:val="%2.%3"/>
      <w:lvlJc w:val="left"/>
      <w:pPr>
        <w:ind w:firstLine="567"/>
      </w:pPr>
      <w:rPr>
        <w:rFonts w:hint="eastAsia"/>
      </w:rPr>
    </w:lvl>
    <w:lvl w:ilvl="3" w:tentative="0">
      <w:start w:val="1"/>
      <w:numFmt w:val="decimal"/>
      <w:suff w:val="space"/>
      <w:lvlText w:val="%2.%3.%4"/>
      <w:lvlJc w:val="left"/>
      <w:pPr>
        <w:ind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47F53821"/>
    <w:multiLevelType w:val="multilevel"/>
    <w:tmpl w:val="47F53821"/>
    <w:lvl w:ilvl="0" w:tentative="0">
      <w:start w:val="3"/>
      <w:numFmt w:val="chineseCountingThousand"/>
      <w:suff w:val="space"/>
      <w:lvlText w:val="%1"/>
      <w:lvlJc w:val="left"/>
      <w:pPr>
        <w:ind w:left="425" w:firstLine="142"/>
      </w:pPr>
      <w:rPr>
        <w:rFonts w:hint="eastAsia"/>
      </w:rPr>
    </w:lvl>
    <w:lvl w:ilvl="1" w:tentative="0">
      <w:start w:val="9"/>
      <w:numFmt w:val="decimal"/>
      <w:suff w:val="space"/>
      <w:lvlText w:val="%2."/>
      <w:lvlJc w:val="left"/>
      <w:pPr>
        <w:ind w:firstLine="567"/>
      </w:pPr>
      <w:rPr>
        <w:rFonts w:hint="eastAsia"/>
        <w:b w:val="0"/>
        <w:bCs w:val="0"/>
        <w:i w:val="0"/>
        <w:iCs w:val="0"/>
      </w:rPr>
    </w:lvl>
    <w:lvl w:ilvl="2" w:tentative="0">
      <w:start w:val="1"/>
      <w:numFmt w:val="decimal"/>
      <w:suff w:val="nothing"/>
      <w:lvlText w:val="%2.%3"/>
      <w:lvlJc w:val="left"/>
      <w:pPr>
        <w:ind w:firstLine="567"/>
      </w:pPr>
      <w:rPr>
        <w:rFonts w:hint="eastAsia"/>
      </w:rPr>
    </w:lvl>
    <w:lvl w:ilvl="3" w:tentative="0">
      <w:start w:val="1"/>
      <w:numFmt w:val="decimal"/>
      <w:suff w:val="nothing"/>
      <w:lvlText w:val="%2.%3.%4"/>
      <w:lvlJc w:val="left"/>
      <w:pPr>
        <w:ind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5A01B85C"/>
    <w:multiLevelType w:val="multilevel"/>
    <w:tmpl w:val="5A01B85C"/>
    <w:lvl w:ilvl="0" w:tentative="0">
      <w:start w:val="1"/>
      <w:numFmt w:val="decimal"/>
      <w:lvlText w:val="第%1条"/>
      <w:lvlJc w:val="left"/>
      <w:pPr>
        <w:tabs>
          <w:tab w:val="left" w:pos="5117"/>
        </w:tabs>
        <w:ind w:left="5117" w:hanging="1418"/>
      </w:pPr>
      <w:rPr>
        <w:rFonts w:hint="eastAsia"/>
      </w:rPr>
    </w:lvl>
    <w:lvl w:ilvl="1" w:tentative="0">
      <w:start w:val="1"/>
      <w:numFmt w:val="decimal"/>
      <w:lvlText w:val="%1.%2"/>
      <w:lvlJc w:val="left"/>
      <w:pPr>
        <w:ind w:left="638" w:hanging="624"/>
      </w:pPr>
      <w:rPr>
        <w:rFonts w:hint="eastAsia" w:ascii="Times New Roman" w:hAnsi="Times New Roman" w:cs="Times New Roman"/>
        <w:b/>
        <w:bCs w:val="0"/>
        <w:i w:val="0"/>
        <w:iCs w:val="0"/>
        <w:caps w:val="0"/>
        <w:smallCaps w:val="0"/>
        <w:strike w:val="0"/>
        <w:dstrike w:val="0"/>
        <w:color w:val="000000"/>
        <w:spacing w:val="0"/>
        <w:kern w:val="0"/>
        <w:position w:val="0"/>
        <w:sz w:val="28"/>
        <w:szCs w:val="28"/>
        <w:u w:val="none"/>
      </w:rPr>
    </w:lvl>
    <w:lvl w:ilvl="2" w:tentative="0">
      <w:start w:val="1"/>
      <w:numFmt w:val="decimal"/>
      <w:lvlText w:val="%1.%2.%3"/>
      <w:lvlJc w:val="left"/>
      <w:pPr>
        <w:tabs>
          <w:tab w:val="left" w:pos="2837"/>
        </w:tabs>
        <w:ind w:left="2240" w:hanging="680"/>
      </w:pPr>
      <w:rPr>
        <w:rFonts w:hint="eastAsia" w:ascii="Times New Roman" w:hAnsi="Times New Roman" w:cs="Times New Roman"/>
        <w:b w:val="0"/>
        <w:bCs w:val="0"/>
        <w:i w:val="0"/>
        <w:iCs w:val="0"/>
        <w:caps w:val="0"/>
        <w:smallCaps w:val="0"/>
        <w:strike w:val="0"/>
        <w:dstrike w:val="0"/>
        <w:color w:val="auto"/>
        <w:spacing w:val="0"/>
        <w:kern w:val="0"/>
        <w:position w:val="0"/>
        <w:u w:val="none"/>
      </w:rPr>
    </w:lvl>
    <w:lvl w:ilvl="3" w:tentative="0">
      <w:start w:val="1"/>
      <w:numFmt w:val="lowerLetter"/>
      <w:pStyle w:val="7"/>
      <w:lvlText w:val="(%4)"/>
      <w:lvlJc w:val="left"/>
      <w:pPr>
        <w:ind w:left="5359" w:hanging="397"/>
      </w:pPr>
      <w:rPr>
        <w:rFonts w:hint="default" w:ascii="Times New Roman" w:hAnsi="Times New Roman" w:cs="Times New Roman"/>
      </w:rPr>
    </w:lvl>
    <w:lvl w:ilvl="4" w:tentative="0">
      <w:start w:val="1"/>
      <w:numFmt w:val="lowerRoman"/>
      <w:pStyle w:val="8"/>
      <w:lvlText w:val="(%5)"/>
      <w:lvlJc w:val="left"/>
      <w:pPr>
        <w:ind w:left="2297" w:hanging="312"/>
      </w:pPr>
      <w:rPr>
        <w:rFonts w:hint="eastAsia"/>
      </w:rPr>
    </w:lvl>
    <w:lvl w:ilvl="5" w:tentative="0">
      <w:start w:val="1"/>
      <w:numFmt w:val="decimal"/>
      <w:lvlText w:val="%1.%2.%3.%4.%5.%6"/>
      <w:lvlJc w:val="left"/>
      <w:pPr>
        <w:ind w:left="3274" w:hanging="1134"/>
      </w:pPr>
      <w:rPr>
        <w:rFonts w:hint="eastAsia"/>
      </w:rPr>
    </w:lvl>
    <w:lvl w:ilvl="6" w:tentative="0">
      <w:start w:val="1"/>
      <w:numFmt w:val="decimal"/>
      <w:lvlText w:val="%1.%2.%3.%4.%5.%6.%7"/>
      <w:lvlJc w:val="left"/>
      <w:pPr>
        <w:ind w:left="3841" w:hanging="1276"/>
      </w:pPr>
      <w:rPr>
        <w:rFonts w:hint="eastAsia"/>
      </w:rPr>
    </w:lvl>
    <w:lvl w:ilvl="7" w:tentative="0">
      <w:start w:val="1"/>
      <w:numFmt w:val="decimal"/>
      <w:lvlText w:val="%1.%2.%3.%4.%5.%6.%7.%8"/>
      <w:lvlJc w:val="left"/>
      <w:pPr>
        <w:ind w:left="4408" w:hanging="1418"/>
      </w:pPr>
      <w:rPr>
        <w:rFonts w:hint="eastAsia"/>
      </w:rPr>
    </w:lvl>
    <w:lvl w:ilvl="8" w:tentative="0">
      <w:start w:val="1"/>
      <w:numFmt w:val="decimal"/>
      <w:lvlText w:val="%1.%2.%3.%4.%5.%6.%7.%8.%9"/>
      <w:lvlJc w:val="left"/>
      <w:pPr>
        <w:ind w:left="5116" w:hanging="1700"/>
      </w:pPr>
      <w:rPr>
        <w:rFonts w:hint="eastAsia"/>
      </w:rPr>
    </w:lvl>
  </w:abstractNum>
  <w:abstractNum w:abstractNumId="9">
    <w:nsid w:val="5CC17067"/>
    <w:multiLevelType w:val="singleLevel"/>
    <w:tmpl w:val="5CC17067"/>
    <w:lvl w:ilvl="0" w:tentative="0">
      <w:start w:val="3"/>
      <w:numFmt w:val="chineseCounting"/>
      <w:suff w:val="space"/>
      <w:lvlText w:val="第%1章"/>
      <w:lvlJc w:val="left"/>
    </w:lvl>
  </w:abstractNum>
  <w:num w:numId="1">
    <w:abstractNumId w:val="8"/>
  </w:num>
  <w:num w:numId="2">
    <w:abstractNumId w:val="0"/>
  </w:num>
  <w:num w:numId="3">
    <w:abstractNumId w:val="3"/>
  </w:num>
  <w:num w:numId="4">
    <w:abstractNumId w:val="7"/>
  </w:num>
  <w:num w:numId="5">
    <w:abstractNumId w:val="6"/>
  </w:num>
  <w:num w:numId="6">
    <w:abstractNumId w:val="5"/>
  </w:num>
  <w:num w:numId="7">
    <w:abstractNumId w:val="4"/>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jY2Y2ZDc3YjBjZWEwNDM5ZTJmNmViNDI4YTU1ZTcifQ=="/>
  </w:docVars>
  <w:rsids>
    <w:rsidRoot w:val="12330772"/>
    <w:rsid w:val="00003646"/>
    <w:rsid w:val="00016508"/>
    <w:rsid w:val="00026A8B"/>
    <w:rsid w:val="000429D0"/>
    <w:rsid w:val="00070893"/>
    <w:rsid w:val="0007443A"/>
    <w:rsid w:val="000827B5"/>
    <w:rsid w:val="000A7818"/>
    <w:rsid w:val="000E6E81"/>
    <w:rsid w:val="000F08A2"/>
    <w:rsid w:val="000F544F"/>
    <w:rsid w:val="00106B2C"/>
    <w:rsid w:val="00111FA7"/>
    <w:rsid w:val="00120A7A"/>
    <w:rsid w:val="00122631"/>
    <w:rsid w:val="00133A5C"/>
    <w:rsid w:val="0013486C"/>
    <w:rsid w:val="00152475"/>
    <w:rsid w:val="00180672"/>
    <w:rsid w:val="00183140"/>
    <w:rsid w:val="001A5E5D"/>
    <w:rsid w:val="001A77DD"/>
    <w:rsid w:val="001C3FDB"/>
    <w:rsid w:val="001D01C6"/>
    <w:rsid w:val="001D1B34"/>
    <w:rsid w:val="00206F07"/>
    <w:rsid w:val="00214481"/>
    <w:rsid w:val="00214979"/>
    <w:rsid w:val="002252C7"/>
    <w:rsid w:val="002264DC"/>
    <w:rsid w:val="00232D34"/>
    <w:rsid w:val="00233E4A"/>
    <w:rsid w:val="00261B93"/>
    <w:rsid w:val="002748CE"/>
    <w:rsid w:val="00297F20"/>
    <w:rsid w:val="002A34CA"/>
    <w:rsid w:val="002B2255"/>
    <w:rsid w:val="002B5F24"/>
    <w:rsid w:val="002D2598"/>
    <w:rsid w:val="002E1C4C"/>
    <w:rsid w:val="002E5C40"/>
    <w:rsid w:val="002F0F4B"/>
    <w:rsid w:val="002F2AE0"/>
    <w:rsid w:val="00302A7D"/>
    <w:rsid w:val="00302D1D"/>
    <w:rsid w:val="00303408"/>
    <w:rsid w:val="00322EAE"/>
    <w:rsid w:val="00340617"/>
    <w:rsid w:val="00341949"/>
    <w:rsid w:val="00347F63"/>
    <w:rsid w:val="00354E59"/>
    <w:rsid w:val="0036756A"/>
    <w:rsid w:val="003747C7"/>
    <w:rsid w:val="00411464"/>
    <w:rsid w:val="00437352"/>
    <w:rsid w:val="004402D5"/>
    <w:rsid w:val="00451FCE"/>
    <w:rsid w:val="0048191C"/>
    <w:rsid w:val="004820C6"/>
    <w:rsid w:val="004874D5"/>
    <w:rsid w:val="00490408"/>
    <w:rsid w:val="004A417C"/>
    <w:rsid w:val="004B76FC"/>
    <w:rsid w:val="004C16F0"/>
    <w:rsid w:val="004E3ADD"/>
    <w:rsid w:val="004F7819"/>
    <w:rsid w:val="0050128C"/>
    <w:rsid w:val="00507E34"/>
    <w:rsid w:val="005442C4"/>
    <w:rsid w:val="005504C0"/>
    <w:rsid w:val="00551C59"/>
    <w:rsid w:val="005644D9"/>
    <w:rsid w:val="005869B9"/>
    <w:rsid w:val="0059553D"/>
    <w:rsid w:val="005A2F2D"/>
    <w:rsid w:val="005C4D2E"/>
    <w:rsid w:val="005E0C8F"/>
    <w:rsid w:val="006004B5"/>
    <w:rsid w:val="00614A48"/>
    <w:rsid w:val="006336CC"/>
    <w:rsid w:val="00653472"/>
    <w:rsid w:val="006609E1"/>
    <w:rsid w:val="006716EB"/>
    <w:rsid w:val="0068364B"/>
    <w:rsid w:val="00685A7F"/>
    <w:rsid w:val="006862F3"/>
    <w:rsid w:val="006931F2"/>
    <w:rsid w:val="00693B9D"/>
    <w:rsid w:val="006953FB"/>
    <w:rsid w:val="006A1A33"/>
    <w:rsid w:val="006C1B72"/>
    <w:rsid w:val="006C5F10"/>
    <w:rsid w:val="006C77D1"/>
    <w:rsid w:val="006E3273"/>
    <w:rsid w:val="006E3287"/>
    <w:rsid w:val="006E389B"/>
    <w:rsid w:val="006E7B3B"/>
    <w:rsid w:val="006F6BFF"/>
    <w:rsid w:val="00701DAF"/>
    <w:rsid w:val="00706146"/>
    <w:rsid w:val="007134AF"/>
    <w:rsid w:val="0072245E"/>
    <w:rsid w:val="00746B51"/>
    <w:rsid w:val="00751A66"/>
    <w:rsid w:val="00755BF8"/>
    <w:rsid w:val="00755DF0"/>
    <w:rsid w:val="00760C1D"/>
    <w:rsid w:val="00764797"/>
    <w:rsid w:val="0077765E"/>
    <w:rsid w:val="007852BC"/>
    <w:rsid w:val="007A60B3"/>
    <w:rsid w:val="007A7256"/>
    <w:rsid w:val="007B4034"/>
    <w:rsid w:val="007B74BB"/>
    <w:rsid w:val="007E4538"/>
    <w:rsid w:val="007E76B3"/>
    <w:rsid w:val="00811021"/>
    <w:rsid w:val="008150E5"/>
    <w:rsid w:val="00821DA7"/>
    <w:rsid w:val="00851477"/>
    <w:rsid w:val="0085356A"/>
    <w:rsid w:val="0086505F"/>
    <w:rsid w:val="00867FF2"/>
    <w:rsid w:val="00870AA4"/>
    <w:rsid w:val="0088364A"/>
    <w:rsid w:val="008921BC"/>
    <w:rsid w:val="00896DBB"/>
    <w:rsid w:val="008B0885"/>
    <w:rsid w:val="008B25EF"/>
    <w:rsid w:val="008C1BB2"/>
    <w:rsid w:val="008C4393"/>
    <w:rsid w:val="008C5EBB"/>
    <w:rsid w:val="008D4765"/>
    <w:rsid w:val="008E421D"/>
    <w:rsid w:val="008E605E"/>
    <w:rsid w:val="008E6803"/>
    <w:rsid w:val="008F1EE8"/>
    <w:rsid w:val="00900DED"/>
    <w:rsid w:val="00905AB1"/>
    <w:rsid w:val="00911C77"/>
    <w:rsid w:val="00922D00"/>
    <w:rsid w:val="009275A5"/>
    <w:rsid w:val="00953BC5"/>
    <w:rsid w:val="00966788"/>
    <w:rsid w:val="00967977"/>
    <w:rsid w:val="0099089B"/>
    <w:rsid w:val="009A5612"/>
    <w:rsid w:val="009C1922"/>
    <w:rsid w:val="009C1A7B"/>
    <w:rsid w:val="009D3746"/>
    <w:rsid w:val="009F291E"/>
    <w:rsid w:val="009F7F26"/>
    <w:rsid w:val="00A012DF"/>
    <w:rsid w:val="00A0598A"/>
    <w:rsid w:val="00A157CA"/>
    <w:rsid w:val="00A21A0D"/>
    <w:rsid w:val="00A21C30"/>
    <w:rsid w:val="00A21F1E"/>
    <w:rsid w:val="00A3081E"/>
    <w:rsid w:val="00A425A7"/>
    <w:rsid w:val="00A472E0"/>
    <w:rsid w:val="00A71BE6"/>
    <w:rsid w:val="00A94995"/>
    <w:rsid w:val="00AA5362"/>
    <w:rsid w:val="00AD0820"/>
    <w:rsid w:val="00AD0BDC"/>
    <w:rsid w:val="00AD5A13"/>
    <w:rsid w:val="00AE025A"/>
    <w:rsid w:val="00AE1802"/>
    <w:rsid w:val="00AE4935"/>
    <w:rsid w:val="00B1227D"/>
    <w:rsid w:val="00B13F40"/>
    <w:rsid w:val="00B206FE"/>
    <w:rsid w:val="00B24F97"/>
    <w:rsid w:val="00B32EFD"/>
    <w:rsid w:val="00B34734"/>
    <w:rsid w:val="00B41AC6"/>
    <w:rsid w:val="00B42189"/>
    <w:rsid w:val="00B43129"/>
    <w:rsid w:val="00B4649D"/>
    <w:rsid w:val="00B50445"/>
    <w:rsid w:val="00B553A2"/>
    <w:rsid w:val="00B56410"/>
    <w:rsid w:val="00B711B0"/>
    <w:rsid w:val="00B84826"/>
    <w:rsid w:val="00BD2B5A"/>
    <w:rsid w:val="00BE1A0B"/>
    <w:rsid w:val="00BE2461"/>
    <w:rsid w:val="00BE32F3"/>
    <w:rsid w:val="00BE558C"/>
    <w:rsid w:val="00C15FAD"/>
    <w:rsid w:val="00C216C2"/>
    <w:rsid w:val="00C358F9"/>
    <w:rsid w:val="00C401FA"/>
    <w:rsid w:val="00C40609"/>
    <w:rsid w:val="00C46095"/>
    <w:rsid w:val="00C52A70"/>
    <w:rsid w:val="00C8388E"/>
    <w:rsid w:val="00C84E13"/>
    <w:rsid w:val="00C9377C"/>
    <w:rsid w:val="00C9433D"/>
    <w:rsid w:val="00CA3F9F"/>
    <w:rsid w:val="00CC224D"/>
    <w:rsid w:val="00CC64F6"/>
    <w:rsid w:val="00D26886"/>
    <w:rsid w:val="00D270F2"/>
    <w:rsid w:val="00D34EFE"/>
    <w:rsid w:val="00D4507B"/>
    <w:rsid w:val="00D56995"/>
    <w:rsid w:val="00DC72EE"/>
    <w:rsid w:val="00DD1EC9"/>
    <w:rsid w:val="00DD25C5"/>
    <w:rsid w:val="00DD5037"/>
    <w:rsid w:val="00DF0C5F"/>
    <w:rsid w:val="00DF69C4"/>
    <w:rsid w:val="00E1238A"/>
    <w:rsid w:val="00E170C1"/>
    <w:rsid w:val="00E253EC"/>
    <w:rsid w:val="00E2704F"/>
    <w:rsid w:val="00E30031"/>
    <w:rsid w:val="00E42644"/>
    <w:rsid w:val="00E469B6"/>
    <w:rsid w:val="00E47643"/>
    <w:rsid w:val="00E524CE"/>
    <w:rsid w:val="00E54D08"/>
    <w:rsid w:val="00E618C7"/>
    <w:rsid w:val="00E67F5D"/>
    <w:rsid w:val="00E73EC8"/>
    <w:rsid w:val="00E756DB"/>
    <w:rsid w:val="00E759EF"/>
    <w:rsid w:val="00E774C8"/>
    <w:rsid w:val="00E801AD"/>
    <w:rsid w:val="00E93546"/>
    <w:rsid w:val="00E97F5A"/>
    <w:rsid w:val="00EB2425"/>
    <w:rsid w:val="00EB48E3"/>
    <w:rsid w:val="00EB7BF3"/>
    <w:rsid w:val="00EC0C2A"/>
    <w:rsid w:val="00EC25E1"/>
    <w:rsid w:val="00EC6611"/>
    <w:rsid w:val="00EF6C8A"/>
    <w:rsid w:val="00F05A8B"/>
    <w:rsid w:val="00F27012"/>
    <w:rsid w:val="00F31178"/>
    <w:rsid w:val="00F33D73"/>
    <w:rsid w:val="00F34D29"/>
    <w:rsid w:val="00F371A4"/>
    <w:rsid w:val="00F453C0"/>
    <w:rsid w:val="00F473AA"/>
    <w:rsid w:val="00F6127D"/>
    <w:rsid w:val="00F63A20"/>
    <w:rsid w:val="00F90D80"/>
    <w:rsid w:val="00FC05A7"/>
    <w:rsid w:val="00FC4DAA"/>
    <w:rsid w:val="00FC5257"/>
    <w:rsid w:val="00FF61E8"/>
    <w:rsid w:val="010649FD"/>
    <w:rsid w:val="01094653"/>
    <w:rsid w:val="01172A03"/>
    <w:rsid w:val="011A3891"/>
    <w:rsid w:val="01510D83"/>
    <w:rsid w:val="016140C6"/>
    <w:rsid w:val="01936B60"/>
    <w:rsid w:val="01AB335C"/>
    <w:rsid w:val="01AF6C93"/>
    <w:rsid w:val="01D65040"/>
    <w:rsid w:val="01D964F8"/>
    <w:rsid w:val="01E054EB"/>
    <w:rsid w:val="01E37862"/>
    <w:rsid w:val="01F666EE"/>
    <w:rsid w:val="020A0F7F"/>
    <w:rsid w:val="02514964"/>
    <w:rsid w:val="0265062C"/>
    <w:rsid w:val="028710B6"/>
    <w:rsid w:val="029475F5"/>
    <w:rsid w:val="02AD34F4"/>
    <w:rsid w:val="02DD4F2E"/>
    <w:rsid w:val="02E96323"/>
    <w:rsid w:val="030F59F5"/>
    <w:rsid w:val="03126D8D"/>
    <w:rsid w:val="032C3DC2"/>
    <w:rsid w:val="033963C2"/>
    <w:rsid w:val="035101CF"/>
    <w:rsid w:val="038B1BF6"/>
    <w:rsid w:val="038D51FF"/>
    <w:rsid w:val="039676A9"/>
    <w:rsid w:val="03A26CE4"/>
    <w:rsid w:val="03E65188"/>
    <w:rsid w:val="04041965"/>
    <w:rsid w:val="042E5CBF"/>
    <w:rsid w:val="043A3F7F"/>
    <w:rsid w:val="04496F01"/>
    <w:rsid w:val="04787C77"/>
    <w:rsid w:val="04922296"/>
    <w:rsid w:val="04AD7D71"/>
    <w:rsid w:val="04C4672F"/>
    <w:rsid w:val="04D719BC"/>
    <w:rsid w:val="04E11470"/>
    <w:rsid w:val="05145BD8"/>
    <w:rsid w:val="05166D5D"/>
    <w:rsid w:val="052C69EB"/>
    <w:rsid w:val="05472B77"/>
    <w:rsid w:val="05530C75"/>
    <w:rsid w:val="05550F81"/>
    <w:rsid w:val="05AF5900"/>
    <w:rsid w:val="05BB3177"/>
    <w:rsid w:val="05E4742F"/>
    <w:rsid w:val="05E8317D"/>
    <w:rsid w:val="05F246E8"/>
    <w:rsid w:val="06233AA0"/>
    <w:rsid w:val="06312096"/>
    <w:rsid w:val="063C49CA"/>
    <w:rsid w:val="064424ED"/>
    <w:rsid w:val="06494EFE"/>
    <w:rsid w:val="067B3C14"/>
    <w:rsid w:val="068E3768"/>
    <w:rsid w:val="06BA455D"/>
    <w:rsid w:val="06C2143D"/>
    <w:rsid w:val="07001403"/>
    <w:rsid w:val="07185ABD"/>
    <w:rsid w:val="07583E9D"/>
    <w:rsid w:val="075E51F1"/>
    <w:rsid w:val="07617FA6"/>
    <w:rsid w:val="0792024D"/>
    <w:rsid w:val="07B61CBA"/>
    <w:rsid w:val="07E35FFF"/>
    <w:rsid w:val="07F42105"/>
    <w:rsid w:val="07FB307F"/>
    <w:rsid w:val="08087DE5"/>
    <w:rsid w:val="082F0250"/>
    <w:rsid w:val="0879423E"/>
    <w:rsid w:val="087C0CF1"/>
    <w:rsid w:val="08994E1D"/>
    <w:rsid w:val="089B2462"/>
    <w:rsid w:val="08AB6853"/>
    <w:rsid w:val="08AE6343"/>
    <w:rsid w:val="08BB5CE2"/>
    <w:rsid w:val="08CA0DEA"/>
    <w:rsid w:val="08D11163"/>
    <w:rsid w:val="08D21CBE"/>
    <w:rsid w:val="08DF79F1"/>
    <w:rsid w:val="090D60CD"/>
    <w:rsid w:val="09285B26"/>
    <w:rsid w:val="092E279E"/>
    <w:rsid w:val="09306D58"/>
    <w:rsid w:val="0960117C"/>
    <w:rsid w:val="096965CE"/>
    <w:rsid w:val="09697100"/>
    <w:rsid w:val="09746765"/>
    <w:rsid w:val="099C619C"/>
    <w:rsid w:val="09BC1175"/>
    <w:rsid w:val="09BC4A90"/>
    <w:rsid w:val="09DD0433"/>
    <w:rsid w:val="09E702DD"/>
    <w:rsid w:val="0A1B386D"/>
    <w:rsid w:val="0A1B5312"/>
    <w:rsid w:val="0A4022AA"/>
    <w:rsid w:val="0A7F7F97"/>
    <w:rsid w:val="0A851B0A"/>
    <w:rsid w:val="0A870BFA"/>
    <w:rsid w:val="0AB47515"/>
    <w:rsid w:val="0AB66445"/>
    <w:rsid w:val="0AE71698"/>
    <w:rsid w:val="0AEF6C3D"/>
    <w:rsid w:val="0B1251E5"/>
    <w:rsid w:val="0B28370F"/>
    <w:rsid w:val="0B492353"/>
    <w:rsid w:val="0B5A4560"/>
    <w:rsid w:val="0B6170CC"/>
    <w:rsid w:val="0B680C26"/>
    <w:rsid w:val="0B6940B8"/>
    <w:rsid w:val="0B89417D"/>
    <w:rsid w:val="0B8A359C"/>
    <w:rsid w:val="0BD4527F"/>
    <w:rsid w:val="0C013E4C"/>
    <w:rsid w:val="0C662A91"/>
    <w:rsid w:val="0C697A1F"/>
    <w:rsid w:val="0C6E4B74"/>
    <w:rsid w:val="0C7003D6"/>
    <w:rsid w:val="0C8F6A66"/>
    <w:rsid w:val="0CDA0BB1"/>
    <w:rsid w:val="0CF053C7"/>
    <w:rsid w:val="0D110885"/>
    <w:rsid w:val="0D145A75"/>
    <w:rsid w:val="0D243B4E"/>
    <w:rsid w:val="0D244E5A"/>
    <w:rsid w:val="0D2561C9"/>
    <w:rsid w:val="0D351919"/>
    <w:rsid w:val="0D38142E"/>
    <w:rsid w:val="0D6039C5"/>
    <w:rsid w:val="0D8E3570"/>
    <w:rsid w:val="0D9A0C44"/>
    <w:rsid w:val="0DD02F0F"/>
    <w:rsid w:val="0DF54C75"/>
    <w:rsid w:val="0E005871"/>
    <w:rsid w:val="0E0467C2"/>
    <w:rsid w:val="0E342E47"/>
    <w:rsid w:val="0E61334F"/>
    <w:rsid w:val="0E7B4B8B"/>
    <w:rsid w:val="0E7F62A1"/>
    <w:rsid w:val="0E833B53"/>
    <w:rsid w:val="0E940589"/>
    <w:rsid w:val="0E9D76B8"/>
    <w:rsid w:val="0ED85268"/>
    <w:rsid w:val="0EF600FC"/>
    <w:rsid w:val="0F04639C"/>
    <w:rsid w:val="0F2065EE"/>
    <w:rsid w:val="0F25722B"/>
    <w:rsid w:val="0F696BC3"/>
    <w:rsid w:val="0F701C7D"/>
    <w:rsid w:val="0F7C60F1"/>
    <w:rsid w:val="0F8B38AB"/>
    <w:rsid w:val="0F930041"/>
    <w:rsid w:val="0FC82BC3"/>
    <w:rsid w:val="0FD05800"/>
    <w:rsid w:val="0FD33B2F"/>
    <w:rsid w:val="0FD93196"/>
    <w:rsid w:val="0FE66A5F"/>
    <w:rsid w:val="0FEF02B3"/>
    <w:rsid w:val="0FF2523E"/>
    <w:rsid w:val="0FF756C0"/>
    <w:rsid w:val="0FF90BC3"/>
    <w:rsid w:val="1001144E"/>
    <w:rsid w:val="100827DD"/>
    <w:rsid w:val="1025642B"/>
    <w:rsid w:val="102E2861"/>
    <w:rsid w:val="10313430"/>
    <w:rsid w:val="104B514A"/>
    <w:rsid w:val="10563548"/>
    <w:rsid w:val="105915D4"/>
    <w:rsid w:val="109113BA"/>
    <w:rsid w:val="109824C3"/>
    <w:rsid w:val="109C4CD3"/>
    <w:rsid w:val="109F5B1E"/>
    <w:rsid w:val="10B10B0E"/>
    <w:rsid w:val="10BA6FC7"/>
    <w:rsid w:val="10C17C3F"/>
    <w:rsid w:val="110166FD"/>
    <w:rsid w:val="11236683"/>
    <w:rsid w:val="1128459B"/>
    <w:rsid w:val="11297EC9"/>
    <w:rsid w:val="113D0232"/>
    <w:rsid w:val="11401891"/>
    <w:rsid w:val="1151512D"/>
    <w:rsid w:val="116869C7"/>
    <w:rsid w:val="11716160"/>
    <w:rsid w:val="11880F61"/>
    <w:rsid w:val="118F3B66"/>
    <w:rsid w:val="11E01A4B"/>
    <w:rsid w:val="12330772"/>
    <w:rsid w:val="12380862"/>
    <w:rsid w:val="12424193"/>
    <w:rsid w:val="12654C90"/>
    <w:rsid w:val="126924BD"/>
    <w:rsid w:val="128F34F9"/>
    <w:rsid w:val="129A025D"/>
    <w:rsid w:val="129C0279"/>
    <w:rsid w:val="12A362E5"/>
    <w:rsid w:val="12D03DE5"/>
    <w:rsid w:val="12D70244"/>
    <w:rsid w:val="13760E50"/>
    <w:rsid w:val="138A301D"/>
    <w:rsid w:val="13A40CB0"/>
    <w:rsid w:val="13B83A0F"/>
    <w:rsid w:val="13BF593A"/>
    <w:rsid w:val="13C442B2"/>
    <w:rsid w:val="13CC5951"/>
    <w:rsid w:val="13D14B6D"/>
    <w:rsid w:val="13D32240"/>
    <w:rsid w:val="143C3F10"/>
    <w:rsid w:val="1450258A"/>
    <w:rsid w:val="14596B6E"/>
    <w:rsid w:val="14670957"/>
    <w:rsid w:val="14680169"/>
    <w:rsid w:val="14877B60"/>
    <w:rsid w:val="14C7031F"/>
    <w:rsid w:val="14D342B9"/>
    <w:rsid w:val="14DE6573"/>
    <w:rsid w:val="14F7176A"/>
    <w:rsid w:val="150115A9"/>
    <w:rsid w:val="150C7B5E"/>
    <w:rsid w:val="15170BBB"/>
    <w:rsid w:val="154A777B"/>
    <w:rsid w:val="155E4C4D"/>
    <w:rsid w:val="15AB0AA4"/>
    <w:rsid w:val="15B23B51"/>
    <w:rsid w:val="16050C01"/>
    <w:rsid w:val="160733B1"/>
    <w:rsid w:val="16134D55"/>
    <w:rsid w:val="16315BBA"/>
    <w:rsid w:val="163C6D3C"/>
    <w:rsid w:val="164706E1"/>
    <w:rsid w:val="16810BF3"/>
    <w:rsid w:val="16945378"/>
    <w:rsid w:val="16A6065A"/>
    <w:rsid w:val="16AB2E46"/>
    <w:rsid w:val="17102D8D"/>
    <w:rsid w:val="17233AEC"/>
    <w:rsid w:val="17244A82"/>
    <w:rsid w:val="173168FB"/>
    <w:rsid w:val="173B6FF4"/>
    <w:rsid w:val="176A5B2B"/>
    <w:rsid w:val="17721E77"/>
    <w:rsid w:val="17760EC4"/>
    <w:rsid w:val="177E3384"/>
    <w:rsid w:val="17812233"/>
    <w:rsid w:val="17932454"/>
    <w:rsid w:val="17973558"/>
    <w:rsid w:val="1798559B"/>
    <w:rsid w:val="17EA64CC"/>
    <w:rsid w:val="17EC7A44"/>
    <w:rsid w:val="17FF08E7"/>
    <w:rsid w:val="18007FB7"/>
    <w:rsid w:val="180A4C18"/>
    <w:rsid w:val="181250C7"/>
    <w:rsid w:val="181A5759"/>
    <w:rsid w:val="18472116"/>
    <w:rsid w:val="18652264"/>
    <w:rsid w:val="18702F50"/>
    <w:rsid w:val="18C26AAD"/>
    <w:rsid w:val="18C95F29"/>
    <w:rsid w:val="19086FD4"/>
    <w:rsid w:val="19346A48"/>
    <w:rsid w:val="19430368"/>
    <w:rsid w:val="194E6691"/>
    <w:rsid w:val="19504DB2"/>
    <w:rsid w:val="195A6828"/>
    <w:rsid w:val="19810F0A"/>
    <w:rsid w:val="19815BE6"/>
    <w:rsid w:val="19A25E93"/>
    <w:rsid w:val="19CE05F3"/>
    <w:rsid w:val="19EC0835"/>
    <w:rsid w:val="1A012F3D"/>
    <w:rsid w:val="1A1B4EBB"/>
    <w:rsid w:val="1A2E1092"/>
    <w:rsid w:val="1A2F76ED"/>
    <w:rsid w:val="1A555BBE"/>
    <w:rsid w:val="1A80358B"/>
    <w:rsid w:val="1AA411C1"/>
    <w:rsid w:val="1AB723E0"/>
    <w:rsid w:val="1AD43BEE"/>
    <w:rsid w:val="1AE01026"/>
    <w:rsid w:val="1AE25C31"/>
    <w:rsid w:val="1AE5074D"/>
    <w:rsid w:val="1B03607B"/>
    <w:rsid w:val="1B581E4A"/>
    <w:rsid w:val="1B9B3911"/>
    <w:rsid w:val="1BAD14D2"/>
    <w:rsid w:val="1BD605F3"/>
    <w:rsid w:val="1BEB27DD"/>
    <w:rsid w:val="1C07688A"/>
    <w:rsid w:val="1C0E3B2F"/>
    <w:rsid w:val="1C150E56"/>
    <w:rsid w:val="1C174B24"/>
    <w:rsid w:val="1C1C221F"/>
    <w:rsid w:val="1C423053"/>
    <w:rsid w:val="1C44491C"/>
    <w:rsid w:val="1C4B6499"/>
    <w:rsid w:val="1C5C1B65"/>
    <w:rsid w:val="1C8B507F"/>
    <w:rsid w:val="1C99465E"/>
    <w:rsid w:val="1CA60997"/>
    <w:rsid w:val="1CAC3A31"/>
    <w:rsid w:val="1CC950A2"/>
    <w:rsid w:val="1CDF0421"/>
    <w:rsid w:val="1CEC2D77"/>
    <w:rsid w:val="1D04257E"/>
    <w:rsid w:val="1D0B2C34"/>
    <w:rsid w:val="1D19312F"/>
    <w:rsid w:val="1D253291"/>
    <w:rsid w:val="1D2E3157"/>
    <w:rsid w:val="1D3272CF"/>
    <w:rsid w:val="1D5E1C8E"/>
    <w:rsid w:val="1D5E3A3C"/>
    <w:rsid w:val="1D684975"/>
    <w:rsid w:val="1D7274E7"/>
    <w:rsid w:val="1DE429ED"/>
    <w:rsid w:val="1E150B68"/>
    <w:rsid w:val="1E1C296E"/>
    <w:rsid w:val="1E1D38F7"/>
    <w:rsid w:val="1E5B441F"/>
    <w:rsid w:val="1E6504F0"/>
    <w:rsid w:val="1E8D00EB"/>
    <w:rsid w:val="1E975C3E"/>
    <w:rsid w:val="1EAC468D"/>
    <w:rsid w:val="1EB1629C"/>
    <w:rsid w:val="1EEB1854"/>
    <w:rsid w:val="1EF32FC4"/>
    <w:rsid w:val="1F1C6EB6"/>
    <w:rsid w:val="1F2A6B37"/>
    <w:rsid w:val="1F30529C"/>
    <w:rsid w:val="1F467833"/>
    <w:rsid w:val="1F4E36B1"/>
    <w:rsid w:val="1F5A3BD0"/>
    <w:rsid w:val="1F8B3EF6"/>
    <w:rsid w:val="1FAD2A59"/>
    <w:rsid w:val="1FB52813"/>
    <w:rsid w:val="1FDF028C"/>
    <w:rsid w:val="20022A1A"/>
    <w:rsid w:val="20127FCD"/>
    <w:rsid w:val="20856C7D"/>
    <w:rsid w:val="20BD0268"/>
    <w:rsid w:val="20E60431"/>
    <w:rsid w:val="20FA25B0"/>
    <w:rsid w:val="211A20DA"/>
    <w:rsid w:val="213F231A"/>
    <w:rsid w:val="21617018"/>
    <w:rsid w:val="21671B55"/>
    <w:rsid w:val="2172076E"/>
    <w:rsid w:val="217E7173"/>
    <w:rsid w:val="21C746C8"/>
    <w:rsid w:val="21CF1CC8"/>
    <w:rsid w:val="21EE13E2"/>
    <w:rsid w:val="21FA5CFD"/>
    <w:rsid w:val="221820F8"/>
    <w:rsid w:val="222B5EB7"/>
    <w:rsid w:val="223631D9"/>
    <w:rsid w:val="223F1EBC"/>
    <w:rsid w:val="2241593B"/>
    <w:rsid w:val="22551E62"/>
    <w:rsid w:val="225A171B"/>
    <w:rsid w:val="22691D0F"/>
    <w:rsid w:val="227C282E"/>
    <w:rsid w:val="22816EAF"/>
    <w:rsid w:val="228E034E"/>
    <w:rsid w:val="229D5263"/>
    <w:rsid w:val="22B6537E"/>
    <w:rsid w:val="22B8377D"/>
    <w:rsid w:val="22C03475"/>
    <w:rsid w:val="230C321D"/>
    <w:rsid w:val="23155D90"/>
    <w:rsid w:val="23183019"/>
    <w:rsid w:val="23321D90"/>
    <w:rsid w:val="23360FF4"/>
    <w:rsid w:val="235419B4"/>
    <w:rsid w:val="23584E4A"/>
    <w:rsid w:val="23A63D8D"/>
    <w:rsid w:val="23C10E27"/>
    <w:rsid w:val="23CE7442"/>
    <w:rsid w:val="241237D2"/>
    <w:rsid w:val="24253506"/>
    <w:rsid w:val="243B4AD7"/>
    <w:rsid w:val="24727367"/>
    <w:rsid w:val="24A634C4"/>
    <w:rsid w:val="24AA6AB3"/>
    <w:rsid w:val="24BC54EC"/>
    <w:rsid w:val="250E0719"/>
    <w:rsid w:val="251406E0"/>
    <w:rsid w:val="2536579D"/>
    <w:rsid w:val="25630B70"/>
    <w:rsid w:val="2572588D"/>
    <w:rsid w:val="2581497C"/>
    <w:rsid w:val="2593624D"/>
    <w:rsid w:val="25A80C60"/>
    <w:rsid w:val="25BC39F6"/>
    <w:rsid w:val="25C44916"/>
    <w:rsid w:val="25CE08CA"/>
    <w:rsid w:val="25E36A82"/>
    <w:rsid w:val="25F921FD"/>
    <w:rsid w:val="25FF48FB"/>
    <w:rsid w:val="260625F3"/>
    <w:rsid w:val="26070096"/>
    <w:rsid w:val="26327DDB"/>
    <w:rsid w:val="26541E80"/>
    <w:rsid w:val="266E549A"/>
    <w:rsid w:val="267E5188"/>
    <w:rsid w:val="2682645A"/>
    <w:rsid w:val="26841C0B"/>
    <w:rsid w:val="26880D7B"/>
    <w:rsid w:val="269D532E"/>
    <w:rsid w:val="26B02C86"/>
    <w:rsid w:val="26B62F7E"/>
    <w:rsid w:val="26D55C4C"/>
    <w:rsid w:val="26ED278D"/>
    <w:rsid w:val="26F91EC6"/>
    <w:rsid w:val="27027B2E"/>
    <w:rsid w:val="270B02DB"/>
    <w:rsid w:val="27541A0C"/>
    <w:rsid w:val="277B4352"/>
    <w:rsid w:val="27890B29"/>
    <w:rsid w:val="27A14592"/>
    <w:rsid w:val="27FF7BCA"/>
    <w:rsid w:val="280C224F"/>
    <w:rsid w:val="282F4A26"/>
    <w:rsid w:val="28391F17"/>
    <w:rsid w:val="28493AA6"/>
    <w:rsid w:val="287F70C8"/>
    <w:rsid w:val="288A40E7"/>
    <w:rsid w:val="28D930A1"/>
    <w:rsid w:val="28EE2036"/>
    <w:rsid w:val="2907530D"/>
    <w:rsid w:val="291753F8"/>
    <w:rsid w:val="29393AB1"/>
    <w:rsid w:val="29394CEC"/>
    <w:rsid w:val="293E7836"/>
    <w:rsid w:val="29526C38"/>
    <w:rsid w:val="299A45B0"/>
    <w:rsid w:val="29AF0BBD"/>
    <w:rsid w:val="29C4006C"/>
    <w:rsid w:val="29DA5136"/>
    <w:rsid w:val="29E36C46"/>
    <w:rsid w:val="29ED14A6"/>
    <w:rsid w:val="2A1619CB"/>
    <w:rsid w:val="2A3F69A3"/>
    <w:rsid w:val="2A5306A1"/>
    <w:rsid w:val="2A60144D"/>
    <w:rsid w:val="2A6F04E6"/>
    <w:rsid w:val="2A884F48"/>
    <w:rsid w:val="2AA92029"/>
    <w:rsid w:val="2AB61FBD"/>
    <w:rsid w:val="2AB67BA6"/>
    <w:rsid w:val="2ADF317E"/>
    <w:rsid w:val="2B0D5D58"/>
    <w:rsid w:val="2B1D7056"/>
    <w:rsid w:val="2B5E554F"/>
    <w:rsid w:val="2B683932"/>
    <w:rsid w:val="2B762959"/>
    <w:rsid w:val="2B7869F0"/>
    <w:rsid w:val="2BA128A4"/>
    <w:rsid w:val="2BDD3602"/>
    <w:rsid w:val="2BE23A8A"/>
    <w:rsid w:val="2BF004E2"/>
    <w:rsid w:val="2BF05322"/>
    <w:rsid w:val="2C070130"/>
    <w:rsid w:val="2C08583F"/>
    <w:rsid w:val="2C291D74"/>
    <w:rsid w:val="2C480373"/>
    <w:rsid w:val="2C4A6E97"/>
    <w:rsid w:val="2C6941AB"/>
    <w:rsid w:val="2C6D614E"/>
    <w:rsid w:val="2C714E0E"/>
    <w:rsid w:val="2C762F66"/>
    <w:rsid w:val="2CC85B89"/>
    <w:rsid w:val="2D0A1DBB"/>
    <w:rsid w:val="2D0D4B37"/>
    <w:rsid w:val="2D335238"/>
    <w:rsid w:val="2D54314A"/>
    <w:rsid w:val="2D7674E9"/>
    <w:rsid w:val="2D845B08"/>
    <w:rsid w:val="2DBB0A37"/>
    <w:rsid w:val="2DBB7F4B"/>
    <w:rsid w:val="2DE36DAA"/>
    <w:rsid w:val="2DF67CC1"/>
    <w:rsid w:val="2DFD4BAB"/>
    <w:rsid w:val="2E023A64"/>
    <w:rsid w:val="2E2D013C"/>
    <w:rsid w:val="2E316055"/>
    <w:rsid w:val="2E38029C"/>
    <w:rsid w:val="2E4317F2"/>
    <w:rsid w:val="2E5829A2"/>
    <w:rsid w:val="2E9C43C4"/>
    <w:rsid w:val="2EB942C3"/>
    <w:rsid w:val="2EDD683E"/>
    <w:rsid w:val="2EE67D35"/>
    <w:rsid w:val="2EE8585B"/>
    <w:rsid w:val="2EEC2A9C"/>
    <w:rsid w:val="2EF02962"/>
    <w:rsid w:val="2F6023F1"/>
    <w:rsid w:val="2F631372"/>
    <w:rsid w:val="2FC90C20"/>
    <w:rsid w:val="2FE5765E"/>
    <w:rsid w:val="30185441"/>
    <w:rsid w:val="30393E95"/>
    <w:rsid w:val="30570E4E"/>
    <w:rsid w:val="30A520FE"/>
    <w:rsid w:val="30A56DDE"/>
    <w:rsid w:val="30AE1C6C"/>
    <w:rsid w:val="30B005FB"/>
    <w:rsid w:val="31014B88"/>
    <w:rsid w:val="310B6B56"/>
    <w:rsid w:val="31181CFC"/>
    <w:rsid w:val="31264419"/>
    <w:rsid w:val="313537BA"/>
    <w:rsid w:val="313D314E"/>
    <w:rsid w:val="31481E6B"/>
    <w:rsid w:val="317A135D"/>
    <w:rsid w:val="317F50EB"/>
    <w:rsid w:val="318F29B2"/>
    <w:rsid w:val="31C47020"/>
    <w:rsid w:val="322A618B"/>
    <w:rsid w:val="3233326A"/>
    <w:rsid w:val="323760AA"/>
    <w:rsid w:val="3293272B"/>
    <w:rsid w:val="32A71F93"/>
    <w:rsid w:val="333C1108"/>
    <w:rsid w:val="334A16FF"/>
    <w:rsid w:val="335A2E87"/>
    <w:rsid w:val="33703EB0"/>
    <w:rsid w:val="33735C77"/>
    <w:rsid w:val="33C50529"/>
    <w:rsid w:val="33E704BB"/>
    <w:rsid w:val="33E710D5"/>
    <w:rsid w:val="34067514"/>
    <w:rsid w:val="340B21E3"/>
    <w:rsid w:val="340E671C"/>
    <w:rsid w:val="342411C4"/>
    <w:rsid w:val="342A5F2C"/>
    <w:rsid w:val="342B2C5D"/>
    <w:rsid w:val="34381442"/>
    <w:rsid w:val="345935E5"/>
    <w:rsid w:val="346F60D7"/>
    <w:rsid w:val="347E631A"/>
    <w:rsid w:val="348A4CBF"/>
    <w:rsid w:val="34984755"/>
    <w:rsid w:val="34D77D44"/>
    <w:rsid w:val="34E95609"/>
    <w:rsid w:val="34EB7E53"/>
    <w:rsid w:val="355F77E4"/>
    <w:rsid w:val="357F234A"/>
    <w:rsid w:val="35BD06AA"/>
    <w:rsid w:val="35D07CD5"/>
    <w:rsid w:val="36113FC2"/>
    <w:rsid w:val="364907A3"/>
    <w:rsid w:val="365F0FE4"/>
    <w:rsid w:val="36792EB9"/>
    <w:rsid w:val="36897924"/>
    <w:rsid w:val="36A032E4"/>
    <w:rsid w:val="36A30E8C"/>
    <w:rsid w:val="36CF0B2F"/>
    <w:rsid w:val="36EE1596"/>
    <w:rsid w:val="370945C1"/>
    <w:rsid w:val="374A0184"/>
    <w:rsid w:val="374D6C08"/>
    <w:rsid w:val="377673E7"/>
    <w:rsid w:val="37787B2D"/>
    <w:rsid w:val="378D61E4"/>
    <w:rsid w:val="3790083E"/>
    <w:rsid w:val="37B273EC"/>
    <w:rsid w:val="37C13D08"/>
    <w:rsid w:val="38166EAD"/>
    <w:rsid w:val="381C20D2"/>
    <w:rsid w:val="38D1245B"/>
    <w:rsid w:val="38DE31DB"/>
    <w:rsid w:val="38EA7D3C"/>
    <w:rsid w:val="38F22EBD"/>
    <w:rsid w:val="38F2461A"/>
    <w:rsid w:val="390E2953"/>
    <w:rsid w:val="39144CBA"/>
    <w:rsid w:val="393F076E"/>
    <w:rsid w:val="395747DA"/>
    <w:rsid w:val="396210CC"/>
    <w:rsid w:val="39746845"/>
    <w:rsid w:val="39884FF3"/>
    <w:rsid w:val="398E34F8"/>
    <w:rsid w:val="39900A80"/>
    <w:rsid w:val="39AE31FE"/>
    <w:rsid w:val="39BA4298"/>
    <w:rsid w:val="39C04F26"/>
    <w:rsid w:val="39E74CFF"/>
    <w:rsid w:val="39E83B6A"/>
    <w:rsid w:val="39EE5C9F"/>
    <w:rsid w:val="39F91007"/>
    <w:rsid w:val="3A2778B1"/>
    <w:rsid w:val="3A3760E6"/>
    <w:rsid w:val="3A3C0B99"/>
    <w:rsid w:val="3A482D92"/>
    <w:rsid w:val="3A6C63E3"/>
    <w:rsid w:val="3A6F4C80"/>
    <w:rsid w:val="3A7B4CAC"/>
    <w:rsid w:val="3AB72586"/>
    <w:rsid w:val="3AC3717D"/>
    <w:rsid w:val="3AEC222F"/>
    <w:rsid w:val="3AFF25AB"/>
    <w:rsid w:val="3B044EA2"/>
    <w:rsid w:val="3B1C12F3"/>
    <w:rsid w:val="3B422237"/>
    <w:rsid w:val="3B43394A"/>
    <w:rsid w:val="3B4C2CCE"/>
    <w:rsid w:val="3B761ACD"/>
    <w:rsid w:val="3BCC08D7"/>
    <w:rsid w:val="3BE439CC"/>
    <w:rsid w:val="3C4B567C"/>
    <w:rsid w:val="3C782F42"/>
    <w:rsid w:val="3CE83692"/>
    <w:rsid w:val="3D144C6C"/>
    <w:rsid w:val="3D3611B8"/>
    <w:rsid w:val="3D3966F2"/>
    <w:rsid w:val="3D5300FF"/>
    <w:rsid w:val="3D69400B"/>
    <w:rsid w:val="3D89645B"/>
    <w:rsid w:val="3D9170BE"/>
    <w:rsid w:val="3D9D4C9C"/>
    <w:rsid w:val="3DA70690"/>
    <w:rsid w:val="3DB838F3"/>
    <w:rsid w:val="3E4920FF"/>
    <w:rsid w:val="3E4B720B"/>
    <w:rsid w:val="3E7E5C21"/>
    <w:rsid w:val="3E9514D0"/>
    <w:rsid w:val="3E9C50D2"/>
    <w:rsid w:val="3EA323CE"/>
    <w:rsid w:val="3EA80B63"/>
    <w:rsid w:val="3EB26F8D"/>
    <w:rsid w:val="3ECE0618"/>
    <w:rsid w:val="3ED60935"/>
    <w:rsid w:val="3ED853CE"/>
    <w:rsid w:val="3EF9316D"/>
    <w:rsid w:val="3F086863"/>
    <w:rsid w:val="3F0D02E8"/>
    <w:rsid w:val="3F152851"/>
    <w:rsid w:val="3F185CE9"/>
    <w:rsid w:val="3F337067"/>
    <w:rsid w:val="3F8D038C"/>
    <w:rsid w:val="3F9136AE"/>
    <w:rsid w:val="3FA318F5"/>
    <w:rsid w:val="3FB462FA"/>
    <w:rsid w:val="3FC50DE2"/>
    <w:rsid w:val="3FE71217"/>
    <w:rsid w:val="40097AF8"/>
    <w:rsid w:val="401321A5"/>
    <w:rsid w:val="402F396B"/>
    <w:rsid w:val="40327F41"/>
    <w:rsid w:val="40890C2C"/>
    <w:rsid w:val="409E6873"/>
    <w:rsid w:val="40A35A86"/>
    <w:rsid w:val="40A90417"/>
    <w:rsid w:val="40B720E8"/>
    <w:rsid w:val="40C76BBF"/>
    <w:rsid w:val="40D96AB9"/>
    <w:rsid w:val="41083453"/>
    <w:rsid w:val="410D1152"/>
    <w:rsid w:val="411335A6"/>
    <w:rsid w:val="412169AB"/>
    <w:rsid w:val="412455BA"/>
    <w:rsid w:val="41727207"/>
    <w:rsid w:val="41D85470"/>
    <w:rsid w:val="42072A91"/>
    <w:rsid w:val="42187DAE"/>
    <w:rsid w:val="421F738E"/>
    <w:rsid w:val="42253C46"/>
    <w:rsid w:val="423B31B5"/>
    <w:rsid w:val="42687EB7"/>
    <w:rsid w:val="42704F4C"/>
    <w:rsid w:val="427174BE"/>
    <w:rsid w:val="427C36B0"/>
    <w:rsid w:val="427E2307"/>
    <w:rsid w:val="42924546"/>
    <w:rsid w:val="42942C5A"/>
    <w:rsid w:val="42A34465"/>
    <w:rsid w:val="42B16AFA"/>
    <w:rsid w:val="42B2456A"/>
    <w:rsid w:val="42DD6C4B"/>
    <w:rsid w:val="42F04D8F"/>
    <w:rsid w:val="42F56EFD"/>
    <w:rsid w:val="43237164"/>
    <w:rsid w:val="435B6436"/>
    <w:rsid w:val="43725498"/>
    <w:rsid w:val="4399386B"/>
    <w:rsid w:val="43AC18C1"/>
    <w:rsid w:val="43C24475"/>
    <w:rsid w:val="43CB5548"/>
    <w:rsid w:val="43CC63FD"/>
    <w:rsid w:val="43E51868"/>
    <w:rsid w:val="43FA3C0F"/>
    <w:rsid w:val="443664D8"/>
    <w:rsid w:val="44557097"/>
    <w:rsid w:val="446C7D3C"/>
    <w:rsid w:val="44715B0B"/>
    <w:rsid w:val="448C516A"/>
    <w:rsid w:val="44C87CC5"/>
    <w:rsid w:val="45034D45"/>
    <w:rsid w:val="45466251"/>
    <w:rsid w:val="454956AB"/>
    <w:rsid w:val="45516648"/>
    <w:rsid w:val="456B1395"/>
    <w:rsid w:val="45701CAF"/>
    <w:rsid w:val="457B1A1A"/>
    <w:rsid w:val="45B417D2"/>
    <w:rsid w:val="45FF1137"/>
    <w:rsid w:val="462A4FED"/>
    <w:rsid w:val="463541EA"/>
    <w:rsid w:val="463C5E19"/>
    <w:rsid w:val="46513FED"/>
    <w:rsid w:val="467F03FC"/>
    <w:rsid w:val="46AC5FCB"/>
    <w:rsid w:val="46BB7E19"/>
    <w:rsid w:val="46D87554"/>
    <w:rsid w:val="46EA393A"/>
    <w:rsid w:val="47032C24"/>
    <w:rsid w:val="471A45C8"/>
    <w:rsid w:val="47523ABF"/>
    <w:rsid w:val="476870E2"/>
    <w:rsid w:val="476B42E2"/>
    <w:rsid w:val="47961EA1"/>
    <w:rsid w:val="47BC298A"/>
    <w:rsid w:val="47BC315F"/>
    <w:rsid w:val="47C02A7A"/>
    <w:rsid w:val="47E0311C"/>
    <w:rsid w:val="47E330FE"/>
    <w:rsid w:val="47FE17F4"/>
    <w:rsid w:val="480E7B95"/>
    <w:rsid w:val="484336AB"/>
    <w:rsid w:val="48552138"/>
    <w:rsid w:val="485C3AE1"/>
    <w:rsid w:val="48674A07"/>
    <w:rsid w:val="487A2378"/>
    <w:rsid w:val="48B16746"/>
    <w:rsid w:val="48C917D7"/>
    <w:rsid w:val="48F6132F"/>
    <w:rsid w:val="48F6374D"/>
    <w:rsid w:val="48F74BC1"/>
    <w:rsid w:val="49486249"/>
    <w:rsid w:val="49603EAD"/>
    <w:rsid w:val="49627A2D"/>
    <w:rsid w:val="49752C0D"/>
    <w:rsid w:val="49793828"/>
    <w:rsid w:val="4988446F"/>
    <w:rsid w:val="499B525F"/>
    <w:rsid w:val="499C4755"/>
    <w:rsid w:val="499C5208"/>
    <w:rsid w:val="49A67583"/>
    <w:rsid w:val="49A93E86"/>
    <w:rsid w:val="49B900A3"/>
    <w:rsid w:val="49C425C9"/>
    <w:rsid w:val="49F578D7"/>
    <w:rsid w:val="4A2B4BAB"/>
    <w:rsid w:val="4A302506"/>
    <w:rsid w:val="4A3C14E4"/>
    <w:rsid w:val="4A677152"/>
    <w:rsid w:val="4A7933B4"/>
    <w:rsid w:val="4A82495E"/>
    <w:rsid w:val="4A97571D"/>
    <w:rsid w:val="4A9B77CE"/>
    <w:rsid w:val="4AB31D0F"/>
    <w:rsid w:val="4AB320D0"/>
    <w:rsid w:val="4AB33B3C"/>
    <w:rsid w:val="4AE02127"/>
    <w:rsid w:val="4AF54D75"/>
    <w:rsid w:val="4B09298A"/>
    <w:rsid w:val="4B145831"/>
    <w:rsid w:val="4B291FB8"/>
    <w:rsid w:val="4B374CDF"/>
    <w:rsid w:val="4B4709B6"/>
    <w:rsid w:val="4B582D83"/>
    <w:rsid w:val="4B5E1B6C"/>
    <w:rsid w:val="4B5F6B85"/>
    <w:rsid w:val="4B83462E"/>
    <w:rsid w:val="4B857F47"/>
    <w:rsid w:val="4BB7242C"/>
    <w:rsid w:val="4BC74E5A"/>
    <w:rsid w:val="4BD034A7"/>
    <w:rsid w:val="4BD50ABE"/>
    <w:rsid w:val="4BE70F37"/>
    <w:rsid w:val="4C4E3B55"/>
    <w:rsid w:val="4C561BFF"/>
    <w:rsid w:val="4C72786E"/>
    <w:rsid w:val="4C89181E"/>
    <w:rsid w:val="4C8E77C6"/>
    <w:rsid w:val="4C8F3363"/>
    <w:rsid w:val="4C93149C"/>
    <w:rsid w:val="4C9743B6"/>
    <w:rsid w:val="4CBD61AA"/>
    <w:rsid w:val="4CBE32BF"/>
    <w:rsid w:val="4CBF2885"/>
    <w:rsid w:val="4CC7615D"/>
    <w:rsid w:val="4CD01017"/>
    <w:rsid w:val="4CE578CA"/>
    <w:rsid w:val="4D160508"/>
    <w:rsid w:val="4D241A1C"/>
    <w:rsid w:val="4D461C73"/>
    <w:rsid w:val="4D4D6AF7"/>
    <w:rsid w:val="4D5A04EA"/>
    <w:rsid w:val="4D661B41"/>
    <w:rsid w:val="4D8562F3"/>
    <w:rsid w:val="4D9E000C"/>
    <w:rsid w:val="4DA84289"/>
    <w:rsid w:val="4DBC56C8"/>
    <w:rsid w:val="4DC65F48"/>
    <w:rsid w:val="4DD14A83"/>
    <w:rsid w:val="4DE343D9"/>
    <w:rsid w:val="4DF33804"/>
    <w:rsid w:val="4E103F53"/>
    <w:rsid w:val="4E347D1E"/>
    <w:rsid w:val="4E856160"/>
    <w:rsid w:val="4EEE5351"/>
    <w:rsid w:val="4EFE2BE3"/>
    <w:rsid w:val="4F1D2E5C"/>
    <w:rsid w:val="4F363F69"/>
    <w:rsid w:val="4F8115BD"/>
    <w:rsid w:val="4FB745B4"/>
    <w:rsid w:val="4FDB48F5"/>
    <w:rsid w:val="4FE854A2"/>
    <w:rsid w:val="4FFE1D03"/>
    <w:rsid w:val="50277BC9"/>
    <w:rsid w:val="50282F8E"/>
    <w:rsid w:val="5040609E"/>
    <w:rsid w:val="504D0542"/>
    <w:rsid w:val="506011CC"/>
    <w:rsid w:val="506409CE"/>
    <w:rsid w:val="509168AF"/>
    <w:rsid w:val="50C312D1"/>
    <w:rsid w:val="50CD0EFD"/>
    <w:rsid w:val="51004D18"/>
    <w:rsid w:val="510713D6"/>
    <w:rsid w:val="513733A0"/>
    <w:rsid w:val="51512859"/>
    <w:rsid w:val="515A05F5"/>
    <w:rsid w:val="51675575"/>
    <w:rsid w:val="516B614C"/>
    <w:rsid w:val="51A41581"/>
    <w:rsid w:val="51B922AB"/>
    <w:rsid w:val="51CF3F45"/>
    <w:rsid w:val="520C4C6B"/>
    <w:rsid w:val="521B3757"/>
    <w:rsid w:val="523D3114"/>
    <w:rsid w:val="52485036"/>
    <w:rsid w:val="526B4A0A"/>
    <w:rsid w:val="527C3D37"/>
    <w:rsid w:val="52AF3FC5"/>
    <w:rsid w:val="52B87065"/>
    <w:rsid w:val="52EA1664"/>
    <w:rsid w:val="52EC1518"/>
    <w:rsid w:val="52F516CA"/>
    <w:rsid w:val="5325232B"/>
    <w:rsid w:val="53263C79"/>
    <w:rsid w:val="533B387E"/>
    <w:rsid w:val="533D5341"/>
    <w:rsid w:val="53456529"/>
    <w:rsid w:val="53566970"/>
    <w:rsid w:val="53732858"/>
    <w:rsid w:val="53840D3D"/>
    <w:rsid w:val="53D32E6C"/>
    <w:rsid w:val="53FB4F58"/>
    <w:rsid w:val="540208BE"/>
    <w:rsid w:val="54027533"/>
    <w:rsid w:val="54411FA2"/>
    <w:rsid w:val="5443491C"/>
    <w:rsid w:val="54492049"/>
    <w:rsid w:val="545A24A8"/>
    <w:rsid w:val="54704990"/>
    <w:rsid w:val="549F6D9D"/>
    <w:rsid w:val="54AD0246"/>
    <w:rsid w:val="54F31FD7"/>
    <w:rsid w:val="55044322"/>
    <w:rsid w:val="55102F19"/>
    <w:rsid w:val="554C1450"/>
    <w:rsid w:val="55514FE8"/>
    <w:rsid w:val="55552C0B"/>
    <w:rsid w:val="555C4981"/>
    <w:rsid w:val="555C4E2D"/>
    <w:rsid w:val="55603AEE"/>
    <w:rsid w:val="557261A5"/>
    <w:rsid w:val="557406E8"/>
    <w:rsid w:val="557E217C"/>
    <w:rsid w:val="558275C0"/>
    <w:rsid w:val="55B668EA"/>
    <w:rsid w:val="55C403BC"/>
    <w:rsid w:val="55C901F5"/>
    <w:rsid w:val="55E165EB"/>
    <w:rsid w:val="55F42ED7"/>
    <w:rsid w:val="560501F2"/>
    <w:rsid w:val="56336B0D"/>
    <w:rsid w:val="564705DA"/>
    <w:rsid w:val="565473BC"/>
    <w:rsid w:val="565A4486"/>
    <w:rsid w:val="567A7A0A"/>
    <w:rsid w:val="569C495E"/>
    <w:rsid w:val="56C26D99"/>
    <w:rsid w:val="56DB16A4"/>
    <w:rsid w:val="56DF58C0"/>
    <w:rsid w:val="57187FE8"/>
    <w:rsid w:val="573858DE"/>
    <w:rsid w:val="573A3ECB"/>
    <w:rsid w:val="57B823F5"/>
    <w:rsid w:val="57BE17D1"/>
    <w:rsid w:val="57D32355"/>
    <w:rsid w:val="57DB745C"/>
    <w:rsid w:val="583D1EC5"/>
    <w:rsid w:val="58755A9D"/>
    <w:rsid w:val="587578B0"/>
    <w:rsid w:val="588C3F04"/>
    <w:rsid w:val="58C34998"/>
    <w:rsid w:val="58DE20A4"/>
    <w:rsid w:val="58E83DEC"/>
    <w:rsid w:val="58F87FBB"/>
    <w:rsid w:val="591231C6"/>
    <w:rsid w:val="592A4855"/>
    <w:rsid w:val="59402C3A"/>
    <w:rsid w:val="594149BA"/>
    <w:rsid w:val="596B564C"/>
    <w:rsid w:val="597867DC"/>
    <w:rsid w:val="59836724"/>
    <w:rsid w:val="599C4B94"/>
    <w:rsid w:val="59B90128"/>
    <w:rsid w:val="59E326B0"/>
    <w:rsid w:val="59ED450E"/>
    <w:rsid w:val="59EF06CC"/>
    <w:rsid w:val="5A05450C"/>
    <w:rsid w:val="5A0A60B2"/>
    <w:rsid w:val="5A264376"/>
    <w:rsid w:val="5A380B96"/>
    <w:rsid w:val="5A3A6325"/>
    <w:rsid w:val="5A58507F"/>
    <w:rsid w:val="5A67797C"/>
    <w:rsid w:val="5A8A25AA"/>
    <w:rsid w:val="5A995CEF"/>
    <w:rsid w:val="5ABF016F"/>
    <w:rsid w:val="5ADD33C8"/>
    <w:rsid w:val="5AE12B82"/>
    <w:rsid w:val="5AFD3402"/>
    <w:rsid w:val="5B2737C5"/>
    <w:rsid w:val="5B5A5D02"/>
    <w:rsid w:val="5B6E783F"/>
    <w:rsid w:val="5B7A08A2"/>
    <w:rsid w:val="5B8837FD"/>
    <w:rsid w:val="5B9147BD"/>
    <w:rsid w:val="5B972DD6"/>
    <w:rsid w:val="5BA85EEE"/>
    <w:rsid w:val="5BBB5E85"/>
    <w:rsid w:val="5BC03DE2"/>
    <w:rsid w:val="5BC86251"/>
    <w:rsid w:val="5BCD11F6"/>
    <w:rsid w:val="5BD24B57"/>
    <w:rsid w:val="5BE070DC"/>
    <w:rsid w:val="5BE1734D"/>
    <w:rsid w:val="5C19698B"/>
    <w:rsid w:val="5C71213D"/>
    <w:rsid w:val="5C91499F"/>
    <w:rsid w:val="5CAF2E9D"/>
    <w:rsid w:val="5CBF3BEB"/>
    <w:rsid w:val="5CD91AE3"/>
    <w:rsid w:val="5CDF380C"/>
    <w:rsid w:val="5CFC665A"/>
    <w:rsid w:val="5D0D455B"/>
    <w:rsid w:val="5D294D8B"/>
    <w:rsid w:val="5D4355AA"/>
    <w:rsid w:val="5D4976D1"/>
    <w:rsid w:val="5D521F6E"/>
    <w:rsid w:val="5D720862"/>
    <w:rsid w:val="5D8F5D8E"/>
    <w:rsid w:val="5DE54B90"/>
    <w:rsid w:val="5E475C6B"/>
    <w:rsid w:val="5E594768"/>
    <w:rsid w:val="5E6546B1"/>
    <w:rsid w:val="5E6D5771"/>
    <w:rsid w:val="5E985D33"/>
    <w:rsid w:val="5E9D693B"/>
    <w:rsid w:val="5EA20CD3"/>
    <w:rsid w:val="5EC76CF3"/>
    <w:rsid w:val="5EF77271"/>
    <w:rsid w:val="5F0806C0"/>
    <w:rsid w:val="5F105623"/>
    <w:rsid w:val="5F214EA0"/>
    <w:rsid w:val="5F5046EA"/>
    <w:rsid w:val="5F5C70D4"/>
    <w:rsid w:val="5F603403"/>
    <w:rsid w:val="5F6274AD"/>
    <w:rsid w:val="5F62768C"/>
    <w:rsid w:val="5F6653AB"/>
    <w:rsid w:val="5F8D3F67"/>
    <w:rsid w:val="5F8F32D6"/>
    <w:rsid w:val="5FA8056B"/>
    <w:rsid w:val="5FB82E15"/>
    <w:rsid w:val="600862CC"/>
    <w:rsid w:val="601D1CCD"/>
    <w:rsid w:val="602D616E"/>
    <w:rsid w:val="605B738C"/>
    <w:rsid w:val="60616F7A"/>
    <w:rsid w:val="608D150F"/>
    <w:rsid w:val="609E371C"/>
    <w:rsid w:val="60A056BD"/>
    <w:rsid w:val="60B82FE3"/>
    <w:rsid w:val="60D719A0"/>
    <w:rsid w:val="60DA6796"/>
    <w:rsid w:val="60E22A4F"/>
    <w:rsid w:val="60E458DB"/>
    <w:rsid w:val="60FF7CF1"/>
    <w:rsid w:val="61057441"/>
    <w:rsid w:val="61151C31"/>
    <w:rsid w:val="61512849"/>
    <w:rsid w:val="615E6BBC"/>
    <w:rsid w:val="619012B7"/>
    <w:rsid w:val="61981601"/>
    <w:rsid w:val="61AD4A4F"/>
    <w:rsid w:val="61B33DF4"/>
    <w:rsid w:val="61B3707D"/>
    <w:rsid w:val="61DD1720"/>
    <w:rsid w:val="61DD72E2"/>
    <w:rsid w:val="62376F2A"/>
    <w:rsid w:val="62695C01"/>
    <w:rsid w:val="627B71A0"/>
    <w:rsid w:val="62955017"/>
    <w:rsid w:val="62C57D6D"/>
    <w:rsid w:val="62D2773A"/>
    <w:rsid w:val="62EB4CB0"/>
    <w:rsid w:val="62EC6A1C"/>
    <w:rsid w:val="62FD5A3E"/>
    <w:rsid w:val="630D3399"/>
    <w:rsid w:val="635242E6"/>
    <w:rsid w:val="63846BFA"/>
    <w:rsid w:val="63BD580E"/>
    <w:rsid w:val="63C811DC"/>
    <w:rsid w:val="63D119F0"/>
    <w:rsid w:val="63D567E0"/>
    <w:rsid w:val="63EC5877"/>
    <w:rsid w:val="63FE7893"/>
    <w:rsid w:val="64236413"/>
    <w:rsid w:val="643E4883"/>
    <w:rsid w:val="64533F67"/>
    <w:rsid w:val="647911E5"/>
    <w:rsid w:val="64794284"/>
    <w:rsid w:val="64810CD7"/>
    <w:rsid w:val="651D4024"/>
    <w:rsid w:val="652A37D1"/>
    <w:rsid w:val="6530528B"/>
    <w:rsid w:val="65445E53"/>
    <w:rsid w:val="65476DE0"/>
    <w:rsid w:val="656C52F5"/>
    <w:rsid w:val="656E46F5"/>
    <w:rsid w:val="6587151F"/>
    <w:rsid w:val="65875458"/>
    <w:rsid w:val="659A6358"/>
    <w:rsid w:val="66154DA9"/>
    <w:rsid w:val="661C2944"/>
    <w:rsid w:val="66305004"/>
    <w:rsid w:val="664408C2"/>
    <w:rsid w:val="6663200A"/>
    <w:rsid w:val="666D45F5"/>
    <w:rsid w:val="667A621B"/>
    <w:rsid w:val="668A0C96"/>
    <w:rsid w:val="66C51E77"/>
    <w:rsid w:val="66CA4BFC"/>
    <w:rsid w:val="66D76745"/>
    <w:rsid w:val="66F44096"/>
    <w:rsid w:val="66FE0769"/>
    <w:rsid w:val="6719585F"/>
    <w:rsid w:val="67545BDB"/>
    <w:rsid w:val="67577629"/>
    <w:rsid w:val="67584625"/>
    <w:rsid w:val="676737E1"/>
    <w:rsid w:val="676F7BC1"/>
    <w:rsid w:val="67705E13"/>
    <w:rsid w:val="67834660"/>
    <w:rsid w:val="678D1CBA"/>
    <w:rsid w:val="67A735B1"/>
    <w:rsid w:val="67B101D9"/>
    <w:rsid w:val="67CD75EE"/>
    <w:rsid w:val="67CE4ADF"/>
    <w:rsid w:val="67D77C40"/>
    <w:rsid w:val="67E40C82"/>
    <w:rsid w:val="67F027BB"/>
    <w:rsid w:val="67F26828"/>
    <w:rsid w:val="684626D0"/>
    <w:rsid w:val="684E052E"/>
    <w:rsid w:val="68504D5D"/>
    <w:rsid w:val="68517DEF"/>
    <w:rsid w:val="68586FB0"/>
    <w:rsid w:val="68745011"/>
    <w:rsid w:val="68880AFE"/>
    <w:rsid w:val="68C20B1A"/>
    <w:rsid w:val="68D021AE"/>
    <w:rsid w:val="68EB75F5"/>
    <w:rsid w:val="68EF4209"/>
    <w:rsid w:val="68F93BE6"/>
    <w:rsid w:val="690C6521"/>
    <w:rsid w:val="690F3217"/>
    <w:rsid w:val="69325A58"/>
    <w:rsid w:val="69387724"/>
    <w:rsid w:val="693E2568"/>
    <w:rsid w:val="69777C6C"/>
    <w:rsid w:val="698D71DA"/>
    <w:rsid w:val="69AD0D62"/>
    <w:rsid w:val="69F26723"/>
    <w:rsid w:val="6A073EE7"/>
    <w:rsid w:val="6A140485"/>
    <w:rsid w:val="6A3262CF"/>
    <w:rsid w:val="6A5D01D6"/>
    <w:rsid w:val="6A7131C2"/>
    <w:rsid w:val="6A971908"/>
    <w:rsid w:val="6A9A4F55"/>
    <w:rsid w:val="6AAD5F0E"/>
    <w:rsid w:val="6AD2649C"/>
    <w:rsid w:val="6AFF070D"/>
    <w:rsid w:val="6B0D0471"/>
    <w:rsid w:val="6B147BB1"/>
    <w:rsid w:val="6B1B0049"/>
    <w:rsid w:val="6B325BF7"/>
    <w:rsid w:val="6B433366"/>
    <w:rsid w:val="6B481316"/>
    <w:rsid w:val="6B5C4271"/>
    <w:rsid w:val="6B7F4DF5"/>
    <w:rsid w:val="6B81470D"/>
    <w:rsid w:val="6B831DDD"/>
    <w:rsid w:val="6B8C1A88"/>
    <w:rsid w:val="6BA01F21"/>
    <w:rsid w:val="6BAD38C4"/>
    <w:rsid w:val="6BAF473A"/>
    <w:rsid w:val="6C046B2A"/>
    <w:rsid w:val="6C3F24CA"/>
    <w:rsid w:val="6C4258A4"/>
    <w:rsid w:val="6C762E7E"/>
    <w:rsid w:val="6C792F32"/>
    <w:rsid w:val="6CA029A4"/>
    <w:rsid w:val="6CD14C35"/>
    <w:rsid w:val="6CDC0141"/>
    <w:rsid w:val="6CDD4ECA"/>
    <w:rsid w:val="6CDF30F3"/>
    <w:rsid w:val="6D00090C"/>
    <w:rsid w:val="6D352454"/>
    <w:rsid w:val="6D517303"/>
    <w:rsid w:val="6D5E6EBF"/>
    <w:rsid w:val="6D6209B3"/>
    <w:rsid w:val="6D6B416B"/>
    <w:rsid w:val="6D6F091A"/>
    <w:rsid w:val="6D814106"/>
    <w:rsid w:val="6D9A0DE0"/>
    <w:rsid w:val="6DA5362C"/>
    <w:rsid w:val="6DD57255"/>
    <w:rsid w:val="6E295D37"/>
    <w:rsid w:val="6E773905"/>
    <w:rsid w:val="6E8977BA"/>
    <w:rsid w:val="6EA919D1"/>
    <w:rsid w:val="6EC7115E"/>
    <w:rsid w:val="6ED72B03"/>
    <w:rsid w:val="6EDE3C7C"/>
    <w:rsid w:val="6F333DF6"/>
    <w:rsid w:val="6F4F0C4A"/>
    <w:rsid w:val="6F5E0C47"/>
    <w:rsid w:val="6F650362"/>
    <w:rsid w:val="6FAD2C07"/>
    <w:rsid w:val="6FB77BC2"/>
    <w:rsid w:val="6FC9025E"/>
    <w:rsid w:val="6FD643FD"/>
    <w:rsid w:val="6FDB4045"/>
    <w:rsid w:val="6FE11A2E"/>
    <w:rsid w:val="6FEB253B"/>
    <w:rsid w:val="7020414E"/>
    <w:rsid w:val="70334BDC"/>
    <w:rsid w:val="703A0A96"/>
    <w:rsid w:val="707A6742"/>
    <w:rsid w:val="70816DF3"/>
    <w:rsid w:val="70E262C1"/>
    <w:rsid w:val="70EA2966"/>
    <w:rsid w:val="70F25E2D"/>
    <w:rsid w:val="70F72979"/>
    <w:rsid w:val="710B2AA7"/>
    <w:rsid w:val="711C0906"/>
    <w:rsid w:val="712041A8"/>
    <w:rsid w:val="71617E94"/>
    <w:rsid w:val="71706A0F"/>
    <w:rsid w:val="717D2AD1"/>
    <w:rsid w:val="71A2507A"/>
    <w:rsid w:val="71C8398B"/>
    <w:rsid w:val="71C860A6"/>
    <w:rsid w:val="71E936DD"/>
    <w:rsid w:val="720F447A"/>
    <w:rsid w:val="72191F9B"/>
    <w:rsid w:val="722865D8"/>
    <w:rsid w:val="723A4D11"/>
    <w:rsid w:val="72752E54"/>
    <w:rsid w:val="72C66B7A"/>
    <w:rsid w:val="72D059B7"/>
    <w:rsid w:val="734D2A54"/>
    <w:rsid w:val="73706993"/>
    <w:rsid w:val="73906DEC"/>
    <w:rsid w:val="73A50FC7"/>
    <w:rsid w:val="73BA353C"/>
    <w:rsid w:val="73BC0175"/>
    <w:rsid w:val="73CB1207"/>
    <w:rsid w:val="73D764C3"/>
    <w:rsid w:val="73EC0D1D"/>
    <w:rsid w:val="73F618CA"/>
    <w:rsid w:val="73F863E7"/>
    <w:rsid w:val="73FC47D8"/>
    <w:rsid w:val="741C69DA"/>
    <w:rsid w:val="74363688"/>
    <w:rsid w:val="743E2A1A"/>
    <w:rsid w:val="746C7903"/>
    <w:rsid w:val="7471028E"/>
    <w:rsid w:val="74745943"/>
    <w:rsid w:val="748327F1"/>
    <w:rsid w:val="74D36757"/>
    <w:rsid w:val="74E279D7"/>
    <w:rsid w:val="74EC7067"/>
    <w:rsid w:val="74F535EB"/>
    <w:rsid w:val="74F66D61"/>
    <w:rsid w:val="7518619B"/>
    <w:rsid w:val="752C2E90"/>
    <w:rsid w:val="75596138"/>
    <w:rsid w:val="755C71B3"/>
    <w:rsid w:val="756643B1"/>
    <w:rsid w:val="75772547"/>
    <w:rsid w:val="75812E8C"/>
    <w:rsid w:val="75A242DA"/>
    <w:rsid w:val="75AD5E96"/>
    <w:rsid w:val="75DD0582"/>
    <w:rsid w:val="7602353D"/>
    <w:rsid w:val="761B7D80"/>
    <w:rsid w:val="76326989"/>
    <w:rsid w:val="76327BCA"/>
    <w:rsid w:val="76351557"/>
    <w:rsid w:val="76382F12"/>
    <w:rsid w:val="764D1423"/>
    <w:rsid w:val="76832D58"/>
    <w:rsid w:val="76872831"/>
    <w:rsid w:val="76A442D9"/>
    <w:rsid w:val="76C70E7F"/>
    <w:rsid w:val="76E23F0B"/>
    <w:rsid w:val="76F50389"/>
    <w:rsid w:val="76FF0D5C"/>
    <w:rsid w:val="77071BC4"/>
    <w:rsid w:val="771B11CB"/>
    <w:rsid w:val="773615C6"/>
    <w:rsid w:val="77420372"/>
    <w:rsid w:val="77523F79"/>
    <w:rsid w:val="77A2495F"/>
    <w:rsid w:val="77CB1A30"/>
    <w:rsid w:val="77D2134A"/>
    <w:rsid w:val="77EE0437"/>
    <w:rsid w:val="78376243"/>
    <w:rsid w:val="78611AEB"/>
    <w:rsid w:val="788E5C50"/>
    <w:rsid w:val="7899622E"/>
    <w:rsid w:val="78A22E45"/>
    <w:rsid w:val="78BB623B"/>
    <w:rsid w:val="78CA096D"/>
    <w:rsid w:val="78E34B02"/>
    <w:rsid w:val="78EC7C28"/>
    <w:rsid w:val="78FE6989"/>
    <w:rsid w:val="790F6EE9"/>
    <w:rsid w:val="793F707A"/>
    <w:rsid w:val="794D516C"/>
    <w:rsid w:val="79780B32"/>
    <w:rsid w:val="79880773"/>
    <w:rsid w:val="799460F3"/>
    <w:rsid w:val="799534B7"/>
    <w:rsid w:val="7A2B2B3C"/>
    <w:rsid w:val="7A2D347F"/>
    <w:rsid w:val="7A7F1A71"/>
    <w:rsid w:val="7A960E55"/>
    <w:rsid w:val="7AA5049C"/>
    <w:rsid w:val="7AA8721A"/>
    <w:rsid w:val="7AC1417C"/>
    <w:rsid w:val="7AC322A6"/>
    <w:rsid w:val="7AF44F7D"/>
    <w:rsid w:val="7AFF62DC"/>
    <w:rsid w:val="7B05641A"/>
    <w:rsid w:val="7B0C5376"/>
    <w:rsid w:val="7B1F572E"/>
    <w:rsid w:val="7B330CC4"/>
    <w:rsid w:val="7B4A6F00"/>
    <w:rsid w:val="7B6E5D6D"/>
    <w:rsid w:val="7B8047D3"/>
    <w:rsid w:val="7B821819"/>
    <w:rsid w:val="7B985D96"/>
    <w:rsid w:val="7B9A5BD4"/>
    <w:rsid w:val="7BA424DD"/>
    <w:rsid w:val="7BC736D0"/>
    <w:rsid w:val="7BE10C35"/>
    <w:rsid w:val="7BE411B1"/>
    <w:rsid w:val="7BE80357"/>
    <w:rsid w:val="7C120DEF"/>
    <w:rsid w:val="7C1C3228"/>
    <w:rsid w:val="7C1D6C5B"/>
    <w:rsid w:val="7C222284"/>
    <w:rsid w:val="7C4A6920"/>
    <w:rsid w:val="7C565B18"/>
    <w:rsid w:val="7C5D383B"/>
    <w:rsid w:val="7C8133E5"/>
    <w:rsid w:val="7C8F229B"/>
    <w:rsid w:val="7C920181"/>
    <w:rsid w:val="7CAB4B3C"/>
    <w:rsid w:val="7CB03993"/>
    <w:rsid w:val="7CB34B68"/>
    <w:rsid w:val="7CC47E06"/>
    <w:rsid w:val="7CD267D0"/>
    <w:rsid w:val="7CFE2788"/>
    <w:rsid w:val="7D0D2788"/>
    <w:rsid w:val="7D0E21AB"/>
    <w:rsid w:val="7D777901"/>
    <w:rsid w:val="7DE12D01"/>
    <w:rsid w:val="7DE33C3D"/>
    <w:rsid w:val="7DE50F68"/>
    <w:rsid w:val="7E19391B"/>
    <w:rsid w:val="7E1F71FF"/>
    <w:rsid w:val="7E4640AA"/>
    <w:rsid w:val="7E6B6FDD"/>
    <w:rsid w:val="7EC5068B"/>
    <w:rsid w:val="7EC938A8"/>
    <w:rsid w:val="7ED26E31"/>
    <w:rsid w:val="7EE61288"/>
    <w:rsid w:val="7EEE56AC"/>
    <w:rsid w:val="7F03689B"/>
    <w:rsid w:val="7F342EBD"/>
    <w:rsid w:val="7F403EC5"/>
    <w:rsid w:val="7F7A0D54"/>
    <w:rsid w:val="7F8544C8"/>
    <w:rsid w:val="7F983D01"/>
    <w:rsid w:val="7FA2248A"/>
    <w:rsid w:val="7FB0104A"/>
    <w:rsid w:val="7FCA378E"/>
    <w:rsid w:val="7FEA4A59"/>
    <w:rsid w:val="7FF56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00" w:lineRule="exact"/>
      <w:ind w:firstLine="504" w:firstLineChars="200"/>
      <w:jc w:val="both"/>
    </w:pPr>
    <w:rPr>
      <w:rFonts w:ascii="Times New Roman" w:hAnsi="Times New Roman" w:eastAsia="仿宋" w:cs="Times New Roman"/>
      <w:kern w:val="2"/>
      <w:sz w:val="24"/>
      <w:szCs w:val="24"/>
      <w:lang w:val="en-US" w:eastAsia="zh-CN" w:bidi="ar-SA"/>
    </w:rPr>
  </w:style>
  <w:style w:type="paragraph" w:styleId="4">
    <w:name w:val="heading 1"/>
    <w:basedOn w:val="1"/>
    <w:next w:val="1"/>
    <w:link w:val="69"/>
    <w:autoRedefine/>
    <w:qFormat/>
    <w:uiPriority w:val="0"/>
    <w:pPr>
      <w:keepNext/>
      <w:keepLines/>
      <w:tabs>
        <w:tab w:val="left" w:pos="432"/>
      </w:tabs>
      <w:spacing w:before="20" w:after="20" w:line="240" w:lineRule="auto"/>
      <w:ind w:firstLine="0" w:firstLineChars="0"/>
      <w:jc w:val="center"/>
      <w:outlineLvl w:val="0"/>
    </w:pPr>
    <w:rPr>
      <w:b/>
      <w:bCs/>
      <w:kern w:val="44"/>
      <w:sz w:val="44"/>
      <w:szCs w:val="44"/>
    </w:rPr>
  </w:style>
  <w:style w:type="paragraph" w:styleId="5">
    <w:name w:val="heading 2"/>
    <w:basedOn w:val="1"/>
    <w:next w:val="1"/>
    <w:link w:val="67"/>
    <w:autoRedefine/>
    <w:unhideWhenUsed/>
    <w:qFormat/>
    <w:uiPriority w:val="0"/>
    <w:pPr>
      <w:keepNext/>
      <w:keepLines/>
      <w:tabs>
        <w:tab w:val="left" w:pos="2985"/>
      </w:tabs>
      <w:spacing w:beforeLines="50" w:afterLines="50"/>
      <w:ind w:firstLine="562"/>
      <w:outlineLvl w:val="1"/>
    </w:pPr>
    <w:rPr>
      <w:rFonts w:ascii="仿宋_GB2312" w:hAnsi="仿宋_GB2312"/>
      <w:b/>
      <w:bCs/>
      <w:kern w:val="0"/>
      <w:sz w:val="28"/>
      <w:szCs w:val="28"/>
      <w:lang w:val="zh-CN"/>
    </w:rPr>
  </w:style>
  <w:style w:type="paragraph" w:styleId="6">
    <w:name w:val="heading 3"/>
    <w:basedOn w:val="1"/>
    <w:next w:val="1"/>
    <w:link w:val="68"/>
    <w:autoRedefine/>
    <w:unhideWhenUsed/>
    <w:qFormat/>
    <w:uiPriority w:val="0"/>
    <w:pPr>
      <w:keepNext/>
      <w:keepLines/>
      <w:ind w:firstLine="420"/>
      <w:jc w:val="left"/>
      <w:outlineLvl w:val="2"/>
    </w:pPr>
    <w:rPr>
      <w:rFonts w:ascii="仿宋_GB2312" w:hAnsi="仿宋_GB2312" w:cs="黑体"/>
      <w:b/>
      <w:bCs/>
      <w:kern w:val="0"/>
      <w:szCs w:val="20"/>
    </w:rPr>
  </w:style>
  <w:style w:type="paragraph" w:styleId="7">
    <w:name w:val="heading 4"/>
    <w:basedOn w:val="1"/>
    <w:next w:val="1"/>
    <w:autoRedefine/>
    <w:unhideWhenUsed/>
    <w:qFormat/>
    <w:uiPriority w:val="0"/>
    <w:pPr>
      <w:keepNext/>
      <w:keepLines/>
      <w:numPr>
        <w:ilvl w:val="3"/>
        <w:numId w:val="1"/>
      </w:numPr>
      <w:tabs>
        <w:tab w:val="left" w:pos="5117"/>
      </w:tabs>
      <w:spacing w:before="280" w:after="290" w:line="372" w:lineRule="auto"/>
      <w:ind w:firstLine="0" w:firstLineChars="0"/>
      <w:outlineLvl w:val="3"/>
    </w:pPr>
    <w:rPr>
      <w:rFonts w:ascii="Arial" w:hAnsi="Arial" w:eastAsia="黑体"/>
      <w:b/>
      <w:sz w:val="28"/>
    </w:rPr>
  </w:style>
  <w:style w:type="paragraph" w:styleId="8">
    <w:name w:val="heading 5"/>
    <w:basedOn w:val="1"/>
    <w:next w:val="1"/>
    <w:autoRedefine/>
    <w:unhideWhenUsed/>
    <w:qFormat/>
    <w:uiPriority w:val="0"/>
    <w:pPr>
      <w:keepNext/>
      <w:keepLines/>
      <w:numPr>
        <w:ilvl w:val="4"/>
        <w:numId w:val="1"/>
      </w:numPr>
      <w:tabs>
        <w:tab w:val="left" w:pos="5117"/>
      </w:tabs>
      <w:spacing w:before="280" w:after="290" w:line="372" w:lineRule="auto"/>
      <w:ind w:firstLine="0" w:firstLineChars="0"/>
      <w:outlineLvl w:val="4"/>
    </w:pPr>
    <w:rPr>
      <w:b/>
      <w:sz w:val="28"/>
    </w:rPr>
  </w:style>
  <w:style w:type="paragraph" w:styleId="9">
    <w:name w:val="heading 6"/>
    <w:basedOn w:val="1"/>
    <w:next w:val="1"/>
    <w:autoRedefine/>
    <w:semiHidden/>
    <w:unhideWhenUsed/>
    <w:qFormat/>
    <w:uiPriority w:val="9"/>
    <w:pPr>
      <w:keepNext/>
      <w:keepLines/>
      <w:spacing w:before="40"/>
      <w:outlineLvl w:val="5"/>
    </w:pPr>
    <w:rPr>
      <w:color w:val="254061" w:themeColor="accent1" w:themeShade="80"/>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88"/>
    <w:autoRedefine/>
    <w:qFormat/>
    <w:uiPriority w:val="0"/>
    <w:pPr>
      <w:ind w:firstLine="420"/>
    </w:pPr>
  </w:style>
  <w:style w:type="paragraph" w:styleId="3">
    <w:name w:val="Body Text Indent"/>
    <w:basedOn w:val="1"/>
    <w:next w:val="2"/>
    <w:autoRedefine/>
    <w:qFormat/>
    <w:uiPriority w:val="0"/>
    <w:pPr>
      <w:spacing w:after="120"/>
      <w:ind w:left="420" w:leftChars="200"/>
    </w:pPr>
  </w:style>
  <w:style w:type="paragraph" w:styleId="10">
    <w:name w:val="toc 7"/>
    <w:basedOn w:val="1"/>
    <w:next w:val="1"/>
    <w:autoRedefine/>
    <w:unhideWhenUsed/>
    <w:qFormat/>
    <w:uiPriority w:val="39"/>
    <w:pPr>
      <w:spacing w:line="240" w:lineRule="auto"/>
      <w:ind w:left="2520" w:leftChars="1200" w:firstLine="0" w:firstLineChars="0"/>
    </w:pPr>
    <w:rPr>
      <w:rFonts w:asciiTheme="minorHAnsi" w:hAnsiTheme="minorHAnsi" w:eastAsiaTheme="minorEastAsia" w:cstheme="minorBidi"/>
      <w:sz w:val="21"/>
      <w:szCs w:val="22"/>
    </w:rPr>
  </w:style>
  <w:style w:type="paragraph" w:styleId="11">
    <w:name w:val="Normal Indent"/>
    <w:basedOn w:val="1"/>
    <w:next w:val="3"/>
    <w:autoRedefine/>
    <w:qFormat/>
    <w:uiPriority w:val="0"/>
    <w:pPr>
      <w:ind w:firstLine="420"/>
    </w:pPr>
  </w:style>
  <w:style w:type="paragraph" w:styleId="12">
    <w:name w:val="toa heading"/>
    <w:basedOn w:val="1"/>
    <w:next w:val="1"/>
    <w:autoRedefine/>
    <w:qFormat/>
    <w:uiPriority w:val="0"/>
    <w:pPr>
      <w:spacing w:before="120"/>
    </w:pPr>
    <w:rPr>
      <w:rFonts w:ascii="Arial" w:hAnsi="Arial"/>
    </w:rPr>
  </w:style>
  <w:style w:type="paragraph" w:styleId="13">
    <w:name w:val="annotation text"/>
    <w:basedOn w:val="1"/>
    <w:autoRedefine/>
    <w:qFormat/>
    <w:uiPriority w:val="0"/>
    <w:pPr>
      <w:jc w:val="left"/>
    </w:pPr>
  </w:style>
  <w:style w:type="paragraph" w:styleId="14">
    <w:name w:val="Body Text 3"/>
    <w:basedOn w:val="1"/>
    <w:autoRedefine/>
    <w:qFormat/>
    <w:uiPriority w:val="99"/>
    <w:rPr>
      <w:rFonts w:ascii="宋体" w:hAnsi="宋体" w:cs="宋体"/>
    </w:rPr>
  </w:style>
  <w:style w:type="paragraph" w:styleId="15">
    <w:name w:val="Body Text"/>
    <w:basedOn w:val="1"/>
    <w:next w:val="1"/>
    <w:link w:val="70"/>
    <w:autoRedefine/>
    <w:qFormat/>
    <w:uiPriority w:val="0"/>
    <w:pPr>
      <w:jc w:val="left"/>
    </w:pPr>
    <w:rPr>
      <w:bCs/>
    </w:rPr>
  </w:style>
  <w:style w:type="paragraph" w:styleId="16">
    <w:name w:val="List 2"/>
    <w:basedOn w:val="1"/>
    <w:autoRedefine/>
    <w:qFormat/>
    <w:uiPriority w:val="0"/>
    <w:pPr>
      <w:ind w:left="100" w:leftChars="200" w:hanging="200" w:hangingChars="200"/>
    </w:pPr>
  </w:style>
  <w:style w:type="paragraph" w:styleId="17">
    <w:name w:val="toc 5"/>
    <w:basedOn w:val="1"/>
    <w:next w:val="1"/>
    <w:autoRedefine/>
    <w:unhideWhenUsed/>
    <w:qFormat/>
    <w:uiPriority w:val="39"/>
    <w:pPr>
      <w:spacing w:line="240" w:lineRule="auto"/>
      <w:ind w:left="1680" w:leftChars="800" w:firstLine="0" w:firstLineChars="0"/>
    </w:pPr>
    <w:rPr>
      <w:rFonts w:asciiTheme="minorHAnsi" w:hAnsiTheme="minorHAnsi" w:eastAsiaTheme="minorEastAsia" w:cstheme="minorBidi"/>
      <w:sz w:val="21"/>
      <w:szCs w:val="22"/>
    </w:rPr>
  </w:style>
  <w:style w:type="paragraph" w:styleId="18">
    <w:name w:val="toc 3"/>
    <w:basedOn w:val="1"/>
    <w:next w:val="1"/>
    <w:autoRedefine/>
    <w:qFormat/>
    <w:uiPriority w:val="39"/>
    <w:pPr>
      <w:ind w:left="840" w:leftChars="400"/>
    </w:pPr>
  </w:style>
  <w:style w:type="paragraph" w:styleId="19">
    <w:name w:val="Plain Text"/>
    <w:basedOn w:val="1"/>
    <w:next w:val="1"/>
    <w:autoRedefine/>
    <w:qFormat/>
    <w:uiPriority w:val="99"/>
    <w:rPr>
      <w:rFonts w:ascii="宋体" w:hAnsi="Courier New" w:eastAsia="宋体" w:cs="宋体"/>
      <w:sz w:val="21"/>
      <w:szCs w:val="21"/>
    </w:rPr>
  </w:style>
  <w:style w:type="paragraph" w:styleId="20">
    <w:name w:val="toc 8"/>
    <w:basedOn w:val="1"/>
    <w:next w:val="1"/>
    <w:autoRedefine/>
    <w:unhideWhenUsed/>
    <w:qFormat/>
    <w:uiPriority w:val="39"/>
    <w:pPr>
      <w:spacing w:line="240" w:lineRule="auto"/>
      <w:ind w:left="2940" w:leftChars="1400" w:firstLine="0" w:firstLineChars="0"/>
    </w:pPr>
    <w:rPr>
      <w:rFonts w:asciiTheme="minorHAnsi" w:hAnsiTheme="minorHAnsi" w:eastAsiaTheme="minorEastAsia" w:cstheme="minorBidi"/>
      <w:sz w:val="21"/>
      <w:szCs w:val="22"/>
    </w:rPr>
  </w:style>
  <w:style w:type="paragraph" w:styleId="21">
    <w:name w:val="Date"/>
    <w:basedOn w:val="1"/>
    <w:next w:val="1"/>
    <w:autoRedefine/>
    <w:qFormat/>
    <w:uiPriority w:val="99"/>
    <w:pPr>
      <w:ind w:left="100"/>
    </w:pPr>
    <w:rPr>
      <w:rFonts w:ascii="Calibri" w:hAnsi="Calibri"/>
      <w:kern w:val="0"/>
      <w:sz w:val="20"/>
    </w:rPr>
  </w:style>
  <w:style w:type="paragraph" w:styleId="22">
    <w:name w:val="Body Text Indent 2"/>
    <w:basedOn w:val="1"/>
    <w:autoRedefine/>
    <w:qFormat/>
    <w:uiPriority w:val="0"/>
    <w:pPr>
      <w:spacing w:line="400" w:lineRule="atLeast"/>
      <w:ind w:firstLine="480"/>
    </w:pPr>
    <w:rPr>
      <w:rFonts w:ascii="宋体" w:hAnsi="宋体"/>
      <w:szCs w:val="20"/>
    </w:rPr>
  </w:style>
  <w:style w:type="paragraph" w:styleId="23">
    <w:name w:val="Balloon Text"/>
    <w:basedOn w:val="1"/>
    <w:link w:val="85"/>
    <w:autoRedefine/>
    <w:qFormat/>
    <w:uiPriority w:val="0"/>
    <w:pPr>
      <w:spacing w:line="240" w:lineRule="auto"/>
    </w:pPr>
    <w:rPr>
      <w:sz w:val="18"/>
      <w:szCs w:val="18"/>
    </w:rPr>
  </w:style>
  <w:style w:type="paragraph" w:styleId="24">
    <w:name w:val="footer"/>
    <w:basedOn w:val="1"/>
    <w:link w:val="87"/>
    <w:autoRedefine/>
    <w:qFormat/>
    <w:uiPriority w:val="99"/>
    <w:pPr>
      <w:tabs>
        <w:tab w:val="center" w:pos="4153"/>
        <w:tab w:val="right" w:pos="8306"/>
      </w:tabs>
      <w:snapToGrid w:val="0"/>
      <w:jc w:val="left"/>
    </w:pPr>
    <w:rPr>
      <w:sz w:val="18"/>
      <w:szCs w:val="18"/>
    </w:rPr>
  </w:style>
  <w:style w:type="paragraph" w:styleId="25">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szCs w:val="18"/>
    </w:rPr>
  </w:style>
  <w:style w:type="paragraph" w:styleId="26">
    <w:name w:val="toc 1"/>
    <w:basedOn w:val="1"/>
    <w:next w:val="1"/>
    <w:autoRedefine/>
    <w:qFormat/>
    <w:uiPriority w:val="39"/>
    <w:pPr>
      <w:spacing w:line="360" w:lineRule="auto"/>
    </w:pPr>
    <w:rPr>
      <w:rFonts w:eastAsia="宋体"/>
      <w:sz w:val="32"/>
      <w:szCs w:val="32"/>
    </w:rPr>
  </w:style>
  <w:style w:type="paragraph" w:styleId="27">
    <w:name w:val="toc 4"/>
    <w:basedOn w:val="1"/>
    <w:next w:val="1"/>
    <w:autoRedefine/>
    <w:unhideWhenUsed/>
    <w:qFormat/>
    <w:uiPriority w:val="39"/>
    <w:pPr>
      <w:spacing w:line="240" w:lineRule="auto"/>
      <w:ind w:left="1260" w:leftChars="600" w:firstLine="0" w:firstLineChars="0"/>
    </w:pPr>
    <w:rPr>
      <w:rFonts w:asciiTheme="minorHAnsi" w:hAnsiTheme="minorHAnsi" w:eastAsiaTheme="minorEastAsia" w:cstheme="minorBidi"/>
      <w:sz w:val="21"/>
      <w:szCs w:val="22"/>
    </w:rPr>
  </w:style>
  <w:style w:type="paragraph" w:styleId="28">
    <w:name w:val="List"/>
    <w:basedOn w:val="1"/>
    <w:autoRedefine/>
    <w:qFormat/>
    <w:uiPriority w:val="0"/>
    <w:pPr>
      <w:ind w:left="200" w:hanging="200" w:hangingChars="200"/>
    </w:pPr>
    <w:rPr>
      <w:rFonts w:ascii="仿宋_GB2312" w:eastAsia="仿宋_GB2312"/>
      <w:sz w:val="28"/>
      <w:szCs w:val="28"/>
    </w:rPr>
  </w:style>
  <w:style w:type="paragraph" w:styleId="29">
    <w:name w:val="toc 6"/>
    <w:basedOn w:val="1"/>
    <w:next w:val="1"/>
    <w:autoRedefine/>
    <w:unhideWhenUsed/>
    <w:qFormat/>
    <w:uiPriority w:val="39"/>
    <w:pPr>
      <w:spacing w:line="240" w:lineRule="auto"/>
      <w:ind w:left="2100" w:leftChars="1000" w:firstLine="0" w:firstLineChars="0"/>
    </w:pPr>
    <w:rPr>
      <w:rFonts w:asciiTheme="minorHAnsi" w:hAnsiTheme="minorHAnsi" w:eastAsiaTheme="minorEastAsia" w:cstheme="minorBidi"/>
      <w:sz w:val="21"/>
      <w:szCs w:val="22"/>
    </w:rPr>
  </w:style>
  <w:style w:type="paragraph" w:styleId="30">
    <w:name w:val="Body Text Indent 3"/>
    <w:basedOn w:val="1"/>
    <w:autoRedefine/>
    <w:qFormat/>
    <w:uiPriority w:val="0"/>
    <w:pPr>
      <w:spacing w:line="360" w:lineRule="auto"/>
      <w:ind w:left="220"/>
      <w:jc w:val="left"/>
    </w:pPr>
    <w:rPr>
      <w:rFonts w:ascii="仿宋_GB2312" w:eastAsia="仿宋_GB2312"/>
      <w:color w:val="000000"/>
    </w:rPr>
  </w:style>
  <w:style w:type="paragraph" w:styleId="31">
    <w:name w:val="toc 2"/>
    <w:basedOn w:val="1"/>
    <w:next w:val="1"/>
    <w:autoRedefine/>
    <w:qFormat/>
    <w:uiPriority w:val="39"/>
    <w:pPr>
      <w:ind w:left="210"/>
      <w:jc w:val="left"/>
    </w:pPr>
    <w:rPr>
      <w:rFonts w:ascii="??_GB2312" w:eastAsia="Times New Roman" w:cs="??_GB2312"/>
      <w:smallCaps/>
      <w:sz w:val="20"/>
      <w:szCs w:val="20"/>
    </w:rPr>
  </w:style>
  <w:style w:type="paragraph" w:styleId="32">
    <w:name w:val="toc 9"/>
    <w:basedOn w:val="1"/>
    <w:next w:val="1"/>
    <w:autoRedefine/>
    <w:unhideWhenUsed/>
    <w:qFormat/>
    <w:uiPriority w:val="39"/>
    <w:pPr>
      <w:spacing w:line="240" w:lineRule="auto"/>
      <w:ind w:left="3360" w:leftChars="1600" w:firstLine="0" w:firstLineChars="0"/>
    </w:pPr>
    <w:rPr>
      <w:rFonts w:asciiTheme="minorHAnsi" w:hAnsiTheme="minorHAnsi" w:eastAsiaTheme="minorEastAsia" w:cstheme="minorBidi"/>
      <w:sz w:val="21"/>
      <w:szCs w:val="22"/>
    </w:rPr>
  </w:style>
  <w:style w:type="paragraph" w:styleId="3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style>
  <w:style w:type="paragraph" w:styleId="34">
    <w:name w:val="Normal (Web)"/>
    <w:basedOn w:val="1"/>
    <w:autoRedefine/>
    <w:qFormat/>
    <w:uiPriority w:val="0"/>
    <w:pPr>
      <w:widowControl/>
      <w:spacing w:before="100" w:beforeAutospacing="1" w:after="100" w:afterAutospacing="1"/>
      <w:jc w:val="left"/>
    </w:pPr>
    <w:rPr>
      <w:rFonts w:ascii="宋体" w:hAnsi="宋体"/>
      <w:kern w:val="0"/>
    </w:rPr>
  </w:style>
  <w:style w:type="paragraph" w:styleId="35">
    <w:name w:val="Title"/>
    <w:basedOn w:val="1"/>
    <w:next w:val="1"/>
    <w:autoRedefine/>
    <w:qFormat/>
    <w:uiPriority w:val="99"/>
    <w:pPr>
      <w:jc w:val="center"/>
    </w:pPr>
    <w:rPr>
      <w:rFonts w:ascii="Arial" w:hAnsi="Arial" w:eastAsia="宋体" w:cs="Arial"/>
      <w:b/>
      <w:bCs/>
      <w:kern w:val="0"/>
      <w:sz w:val="36"/>
      <w:szCs w:val="36"/>
      <w:lang w:eastAsia="en-US"/>
    </w:rPr>
  </w:style>
  <w:style w:type="paragraph" w:styleId="36">
    <w:name w:val="Body Text First Indent"/>
    <w:basedOn w:val="15"/>
    <w:next w:val="1"/>
    <w:autoRedefine/>
    <w:qFormat/>
    <w:uiPriority w:val="0"/>
    <w:pPr>
      <w:ind w:firstLine="420" w:firstLineChars="100"/>
    </w:pPr>
  </w:style>
  <w:style w:type="table" w:styleId="38">
    <w:name w:val="Table Grid"/>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page number"/>
    <w:basedOn w:val="39"/>
    <w:autoRedefine/>
    <w:qFormat/>
    <w:uiPriority w:val="0"/>
  </w:style>
  <w:style w:type="character" w:styleId="41">
    <w:name w:val="Hyperlink"/>
    <w:basedOn w:val="39"/>
    <w:autoRedefine/>
    <w:qFormat/>
    <w:uiPriority w:val="99"/>
    <w:rPr>
      <w:color w:val="0000FF"/>
      <w:u w:val="single"/>
    </w:rPr>
  </w:style>
  <w:style w:type="paragraph" w:customStyle="1" w:styleId="42">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43">
    <w:name w:val="文章正文"/>
    <w:basedOn w:val="1"/>
    <w:next w:val="44"/>
    <w:autoRedefine/>
    <w:qFormat/>
    <w:uiPriority w:val="0"/>
    <w:pPr>
      <w:tabs>
        <w:tab w:val="left" w:pos="0"/>
      </w:tabs>
      <w:spacing w:line="360" w:lineRule="auto"/>
      <w:ind w:firstLine="200"/>
    </w:pPr>
    <w:rPr>
      <w:rFonts w:eastAsia="宋体" w:cs="宋体"/>
    </w:rPr>
  </w:style>
  <w:style w:type="paragraph" w:customStyle="1" w:styleId="44">
    <w:name w:val="公式样式 变量"/>
    <w:autoRedefine/>
    <w:qFormat/>
    <w:uiPriority w:val="0"/>
    <w:rPr>
      <w:rFonts w:ascii="Times New Roman" w:hAnsi="Times New Roman" w:eastAsia="宋体" w:cs="Times New Roman"/>
      <w:i/>
      <w:lang w:val="en-US" w:eastAsia="zh-CN" w:bidi="ar-SA"/>
    </w:rPr>
  </w:style>
  <w:style w:type="paragraph" w:customStyle="1" w:styleId="45">
    <w:name w:val="正文-小四"/>
    <w:basedOn w:val="1"/>
    <w:autoRedefine/>
    <w:qFormat/>
    <w:uiPriority w:val="99"/>
    <w:pPr>
      <w:widowControl/>
      <w:spacing w:beforeLines="30" w:afterLines="30" w:line="480" w:lineRule="atLeast"/>
      <w:ind w:firstLine="520"/>
    </w:pPr>
    <w:rPr>
      <w:rFonts w:ascii="宋体" w:hAnsi="宋体" w:cs="宋体"/>
      <w:bCs/>
      <w:spacing w:val="10"/>
      <w:kern w:val="10"/>
      <w:position w:val="1"/>
      <w:szCs w:val="32"/>
    </w:rPr>
  </w:style>
  <w:style w:type="paragraph" w:customStyle="1" w:styleId="46">
    <w:name w:val="表格文字"/>
    <w:basedOn w:val="1"/>
    <w:next w:val="15"/>
    <w:autoRedefine/>
    <w:qFormat/>
    <w:uiPriority w:val="0"/>
    <w:pPr>
      <w:adjustRightInd w:val="0"/>
      <w:spacing w:line="420" w:lineRule="atLeast"/>
      <w:jc w:val="left"/>
      <w:textAlignment w:val="baseline"/>
    </w:pPr>
    <w:rPr>
      <w:kern w:val="0"/>
    </w:rPr>
  </w:style>
  <w:style w:type="paragraph" w:customStyle="1" w:styleId="47">
    <w:name w:val="BodyText1I2"/>
    <w:basedOn w:val="1"/>
    <w:autoRedefine/>
    <w:qFormat/>
    <w:uiPriority w:val="0"/>
    <w:pPr>
      <w:spacing w:after="120"/>
      <w:ind w:left="420" w:leftChars="200" w:hanging="200" w:hangingChars="200"/>
    </w:pPr>
    <w:rPr>
      <w:kern w:val="0"/>
      <w:szCs w:val="21"/>
    </w:rPr>
  </w:style>
  <w:style w:type="paragraph" w:customStyle="1" w:styleId="48">
    <w:name w:val="[Normal]"/>
    <w:autoRedefine/>
    <w:qFormat/>
    <w:uiPriority w:val="0"/>
    <w:rPr>
      <w:rFonts w:ascii="宋体" w:hAnsi="宋体" w:eastAsia="宋体" w:cs="Times New Roman"/>
      <w:sz w:val="24"/>
      <w:szCs w:val="22"/>
      <w:lang w:val="zh-CN" w:eastAsia="zh-CN" w:bidi="ar-SA"/>
    </w:rPr>
  </w:style>
  <w:style w:type="paragraph" w:customStyle="1" w:styleId="49">
    <w:name w:val="样式 表格正文 + 两端对齐"/>
    <w:basedOn w:val="1"/>
    <w:next w:val="50"/>
    <w:autoRedefine/>
    <w:qFormat/>
    <w:uiPriority w:val="0"/>
    <w:pPr>
      <w:spacing w:line="300" w:lineRule="auto"/>
      <w:ind w:firstLine="0"/>
    </w:pPr>
    <w:rPr>
      <w:rFonts w:eastAsia="宋体"/>
    </w:rPr>
  </w:style>
  <w:style w:type="paragraph" w:customStyle="1" w:styleId="50">
    <w:name w:val="正文1"/>
    <w:basedOn w:val="18"/>
    <w:next w:val="51"/>
    <w:autoRedefine/>
    <w:qFormat/>
    <w:uiPriority w:val="0"/>
    <w:pPr>
      <w:widowControl/>
      <w:snapToGrid w:val="0"/>
      <w:ind w:firstLine="567"/>
    </w:pPr>
    <w:rPr>
      <w:rFonts w:ascii="楷体_GB2312" w:eastAsia="楷体_GB2312"/>
      <w:kern w:val="0"/>
      <w:sz w:val="28"/>
      <w:szCs w:val="20"/>
    </w:rPr>
  </w:style>
  <w:style w:type="paragraph" w:customStyle="1" w:styleId="51">
    <w:name w:val="自动更正"/>
    <w:next w:val="5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xl39"/>
    <w:basedOn w:val="1"/>
    <w:next w:val="53"/>
    <w:autoRedefine/>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53">
    <w:name w:val="分手多日，近况如何？"/>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54">
    <w:name w:val="_Style 2"/>
    <w:basedOn w:val="1"/>
    <w:autoRedefine/>
    <w:qFormat/>
    <w:uiPriority w:val="0"/>
    <w:pPr>
      <w:ind w:firstLine="200"/>
    </w:pPr>
    <w:rPr>
      <w:rFonts w:ascii="Calibri" w:hAnsi="Calibri"/>
      <w:sz w:val="28"/>
      <w:szCs w:val="22"/>
    </w:rPr>
  </w:style>
  <w:style w:type="paragraph" w:customStyle="1" w:styleId="55">
    <w:name w:val="普通(网站)1"/>
    <w:basedOn w:val="1"/>
    <w:autoRedefine/>
    <w:qFormat/>
    <w:uiPriority w:val="99"/>
    <w:pPr>
      <w:widowControl/>
      <w:spacing w:beforeAutospacing="1" w:afterAutospacing="1"/>
      <w:jc w:val="left"/>
    </w:pPr>
    <w:rPr>
      <w:rFonts w:ascii="宋体" w:hAnsi="宋体" w:cs="宋体"/>
      <w:kern w:val="0"/>
    </w:rPr>
  </w:style>
  <w:style w:type="paragraph" w:customStyle="1" w:styleId="56">
    <w:name w:val="Proposals body"/>
    <w:basedOn w:val="1"/>
    <w:next w:val="1"/>
    <w:autoRedefine/>
    <w:qFormat/>
    <w:uiPriority w:val="99"/>
    <w:pPr>
      <w:widowControl/>
      <w:spacing w:line="360" w:lineRule="auto"/>
      <w:jc w:val="left"/>
    </w:pPr>
    <w:rPr>
      <w:rFonts w:ascii="宋体" w:eastAsia="Times New Roman" w:cs="宋体"/>
      <w:color w:val="000000"/>
      <w:kern w:val="0"/>
    </w:rPr>
  </w:style>
  <w:style w:type="paragraph" w:customStyle="1" w:styleId="57">
    <w:name w:val="样式1"/>
    <w:basedOn w:val="5"/>
    <w:autoRedefine/>
    <w:qFormat/>
    <w:uiPriority w:val="99"/>
    <w:pPr>
      <w:spacing w:line="415" w:lineRule="auto"/>
    </w:pPr>
    <w:rPr>
      <w:sz w:val="36"/>
      <w:szCs w:val="36"/>
    </w:rPr>
  </w:style>
  <w:style w:type="paragraph" w:customStyle="1" w:styleId="58">
    <w:name w:val="Char"/>
    <w:basedOn w:val="1"/>
    <w:autoRedefine/>
    <w:qFormat/>
    <w:uiPriority w:val="99"/>
    <w:rPr>
      <w:rFonts w:ascii="??_GB2312" w:eastAsia="Times New Roman" w:cs="??_GB2312"/>
      <w:b/>
      <w:bCs/>
      <w:sz w:val="32"/>
      <w:szCs w:val="32"/>
    </w:rPr>
  </w:style>
  <w:style w:type="paragraph" w:customStyle="1" w:styleId="59">
    <w:name w:val="reader-word-layer reader-word-s26-10"/>
    <w:basedOn w:val="1"/>
    <w:autoRedefine/>
    <w:qFormat/>
    <w:uiPriority w:val="99"/>
    <w:pPr>
      <w:widowControl/>
      <w:spacing w:before="100" w:beforeAutospacing="1" w:after="100" w:afterAutospacing="1"/>
      <w:jc w:val="left"/>
    </w:pPr>
    <w:rPr>
      <w:rFonts w:ascii="宋体" w:hAnsi="宋体" w:cs="宋体"/>
      <w:kern w:val="0"/>
    </w:rPr>
  </w:style>
  <w:style w:type="paragraph" w:customStyle="1" w:styleId="60">
    <w:name w:val="reader-word-layer reader-word-s27-4"/>
    <w:basedOn w:val="1"/>
    <w:autoRedefine/>
    <w:qFormat/>
    <w:uiPriority w:val="99"/>
    <w:pPr>
      <w:widowControl/>
      <w:spacing w:before="100" w:beforeAutospacing="1" w:after="100" w:afterAutospacing="1"/>
      <w:jc w:val="left"/>
    </w:pPr>
    <w:rPr>
      <w:rFonts w:ascii="宋体" w:hAnsi="宋体" w:cs="宋体"/>
      <w:kern w:val="0"/>
    </w:rPr>
  </w:style>
  <w:style w:type="paragraph" w:customStyle="1" w:styleId="61">
    <w:name w:val="reader-word-layer reader-word-s27-6"/>
    <w:basedOn w:val="1"/>
    <w:autoRedefine/>
    <w:qFormat/>
    <w:uiPriority w:val="99"/>
    <w:pPr>
      <w:widowControl/>
      <w:spacing w:before="100" w:beforeAutospacing="1" w:after="100" w:afterAutospacing="1"/>
      <w:jc w:val="left"/>
    </w:pPr>
    <w:rPr>
      <w:rFonts w:ascii="宋体" w:hAnsi="宋体" w:cs="宋体"/>
      <w:kern w:val="0"/>
    </w:rPr>
  </w:style>
  <w:style w:type="paragraph" w:customStyle="1" w:styleId="62">
    <w:name w:val="reader-word-layer reader-word-s27-7"/>
    <w:basedOn w:val="1"/>
    <w:autoRedefine/>
    <w:qFormat/>
    <w:uiPriority w:val="99"/>
    <w:pPr>
      <w:widowControl/>
      <w:spacing w:before="100" w:beforeAutospacing="1" w:after="100" w:afterAutospacing="1"/>
      <w:jc w:val="left"/>
    </w:pPr>
    <w:rPr>
      <w:rFonts w:ascii="宋体" w:hAnsi="宋体" w:cs="宋体"/>
      <w:kern w:val="0"/>
    </w:rPr>
  </w:style>
  <w:style w:type="paragraph" w:customStyle="1" w:styleId="63">
    <w:name w:val="reader-word-layer reader-word-s27-8"/>
    <w:basedOn w:val="1"/>
    <w:autoRedefine/>
    <w:qFormat/>
    <w:uiPriority w:val="99"/>
    <w:pPr>
      <w:widowControl/>
      <w:spacing w:before="100" w:beforeAutospacing="1" w:after="100" w:afterAutospacing="1"/>
      <w:jc w:val="left"/>
    </w:pPr>
    <w:rPr>
      <w:rFonts w:ascii="宋体" w:hAnsi="宋体" w:cs="宋体"/>
      <w:kern w:val="0"/>
    </w:rPr>
  </w:style>
  <w:style w:type="paragraph" w:customStyle="1" w:styleId="64">
    <w:name w:val="reader-word-layer reader-word-s27-9"/>
    <w:basedOn w:val="1"/>
    <w:autoRedefine/>
    <w:qFormat/>
    <w:uiPriority w:val="99"/>
    <w:pPr>
      <w:widowControl/>
      <w:spacing w:before="100" w:beforeAutospacing="1" w:after="100" w:afterAutospacing="1"/>
      <w:jc w:val="left"/>
    </w:pPr>
    <w:rPr>
      <w:rFonts w:ascii="宋体" w:hAnsi="宋体" w:cs="宋体"/>
      <w:kern w:val="0"/>
    </w:rPr>
  </w:style>
  <w:style w:type="paragraph" w:customStyle="1" w:styleId="65">
    <w:name w:val="reader-word-layer reader-word-s27-15"/>
    <w:basedOn w:val="1"/>
    <w:autoRedefine/>
    <w:qFormat/>
    <w:uiPriority w:val="99"/>
    <w:pPr>
      <w:widowControl/>
      <w:spacing w:before="100" w:beforeAutospacing="1" w:after="100" w:afterAutospacing="1"/>
      <w:jc w:val="left"/>
    </w:pPr>
    <w:rPr>
      <w:rFonts w:ascii="宋体" w:hAnsi="宋体" w:cs="宋体"/>
      <w:kern w:val="0"/>
    </w:rPr>
  </w:style>
  <w:style w:type="paragraph" w:customStyle="1" w:styleId="66">
    <w:name w:val="DG正文"/>
    <w:basedOn w:val="1"/>
    <w:autoRedefine/>
    <w:qFormat/>
    <w:uiPriority w:val="0"/>
    <w:pPr>
      <w:widowControl/>
      <w:spacing w:line="360" w:lineRule="auto"/>
      <w:ind w:right="142" w:firstLine="640"/>
      <w:jc w:val="left"/>
    </w:pPr>
    <w:rPr>
      <w:rFonts w:ascii="Calibri" w:hAnsi="Calibri" w:cs="Calibri"/>
    </w:rPr>
  </w:style>
  <w:style w:type="character" w:customStyle="1" w:styleId="67">
    <w:name w:val="标题 2 字符"/>
    <w:basedOn w:val="39"/>
    <w:link w:val="5"/>
    <w:autoRedefine/>
    <w:qFormat/>
    <w:uiPriority w:val="0"/>
    <w:rPr>
      <w:rFonts w:ascii="Arial" w:hAnsi="Arial" w:eastAsia="仿宋" w:cs="Times New Roman"/>
      <w:b/>
      <w:bCs/>
      <w:sz w:val="30"/>
      <w:szCs w:val="32"/>
    </w:rPr>
  </w:style>
  <w:style w:type="character" w:customStyle="1" w:styleId="68">
    <w:name w:val="标题 3 字符"/>
    <w:link w:val="6"/>
    <w:autoRedefine/>
    <w:qFormat/>
    <w:uiPriority w:val="9"/>
    <w:rPr>
      <w:rFonts w:ascii="仿宋_GB2312" w:hAnsi="仿宋_GB2312" w:eastAsia="仿宋" w:cs="黑体"/>
      <w:b/>
      <w:bCs/>
      <w:sz w:val="24"/>
      <w:szCs w:val="20"/>
    </w:rPr>
  </w:style>
  <w:style w:type="character" w:customStyle="1" w:styleId="69">
    <w:name w:val="标题 1 字符"/>
    <w:basedOn w:val="39"/>
    <w:link w:val="4"/>
    <w:autoRedefine/>
    <w:qFormat/>
    <w:locked/>
    <w:uiPriority w:val="99"/>
    <w:rPr>
      <w:rFonts w:ascii="Times New Roman" w:hAnsi="Times New Roman" w:eastAsia="仿宋"/>
      <w:b/>
      <w:bCs/>
      <w:kern w:val="2"/>
      <w:sz w:val="44"/>
      <w:szCs w:val="24"/>
    </w:rPr>
  </w:style>
  <w:style w:type="character" w:customStyle="1" w:styleId="70">
    <w:name w:val="正文文本 字符"/>
    <w:basedOn w:val="39"/>
    <w:link w:val="15"/>
    <w:autoRedefine/>
    <w:semiHidden/>
    <w:qFormat/>
    <w:locked/>
    <w:uiPriority w:val="99"/>
    <w:rPr>
      <w:rFonts w:ascii="Calibri" w:hAnsi="Calibri" w:eastAsia="仿宋" w:cs="Times New Roman"/>
      <w:sz w:val="24"/>
    </w:rPr>
  </w:style>
  <w:style w:type="character" w:customStyle="1" w:styleId="71">
    <w:name w:val="large1"/>
    <w:autoRedefine/>
    <w:qFormat/>
    <w:uiPriority w:val="99"/>
    <w:rPr>
      <w:rFonts w:ascii="宋体" w:hAnsi="宋体" w:eastAsia="宋体" w:cs="宋体"/>
      <w:sz w:val="21"/>
      <w:szCs w:val="21"/>
    </w:rPr>
  </w:style>
  <w:style w:type="paragraph" w:customStyle="1" w:styleId="72">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3">
    <w:name w:val="ca-32"/>
    <w:basedOn w:val="39"/>
    <w:autoRedefine/>
    <w:qFormat/>
    <w:uiPriority w:val="0"/>
    <w:rPr>
      <w:rFonts w:ascii="Calibri" w:hAnsi="Calibri" w:eastAsia="宋体" w:cs="Times New Roman"/>
    </w:rPr>
  </w:style>
  <w:style w:type="paragraph" w:customStyle="1" w:styleId="74">
    <w:name w:val="Normal Indent1"/>
    <w:basedOn w:val="1"/>
    <w:autoRedefine/>
    <w:qFormat/>
    <w:uiPriority w:val="0"/>
    <w:pPr>
      <w:ind w:firstLine="420"/>
    </w:pPr>
  </w:style>
  <w:style w:type="paragraph" w:customStyle="1" w:styleId="75">
    <w:name w:val="Table Paragraph"/>
    <w:basedOn w:val="1"/>
    <w:autoRedefine/>
    <w:qFormat/>
    <w:uiPriority w:val="1"/>
  </w:style>
  <w:style w:type="paragraph" w:customStyle="1" w:styleId="76">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77">
    <w:name w:val="CM18"/>
    <w:basedOn w:val="72"/>
    <w:next w:val="72"/>
    <w:autoRedefine/>
    <w:qFormat/>
    <w:uiPriority w:val="99"/>
    <w:pPr>
      <w:spacing w:after="523"/>
    </w:pPr>
    <w:rPr>
      <w:rFonts w:ascii="仿宋" w:hAnsi="Calibri" w:eastAsia="仿宋" w:cs="Times New Roman"/>
      <w:color w:val="auto"/>
    </w:rPr>
  </w:style>
  <w:style w:type="paragraph" w:customStyle="1" w:styleId="78">
    <w:name w:val="CM11"/>
    <w:basedOn w:val="72"/>
    <w:next w:val="72"/>
    <w:autoRedefine/>
    <w:qFormat/>
    <w:uiPriority w:val="99"/>
    <w:pPr>
      <w:spacing w:line="520" w:lineRule="atLeast"/>
    </w:pPr>
    <w:rPr>
      <w:rFonts w:ascii="仿宋" w:hAnsi="Calibri" w:eastAsia="仿宋" w:cs="Times New Roman"/>
      <w:color w:val="auto"/>
    </w:rPr>
  </w:style>
  <w:style w:type="paragraph" w:customStyle="1" w:styleId="79">
    <w:name w:val="CM17"/>
    <w:basedOn w:val="72"/>
    <w:next w:val="72"/>
    <w:autoRedefine/>
    <w:qFormat/>
    <w:uiPriority w:val="99"/>
    <w:pPr>
      <w:spacing w:after="160"/>
    </w:pPr>
    <w:rPr>
      <w:rFonts w:ascii="仿宋" w:hAnsi="Calibri" w:eastAsia="仿宋" w:cs="Times New Roman"/>
      <w:color w:val="auto"/>
    </w:rPr>
  </w:style>
  <w:style w:type="paragraph" w:styleId="80">
    <w:name w:val="List Paragraph"/>
    <w:basedOn w:val="1"/>
    <w:autoRedefine/>
    <w:qFormat/>
    <w:uiPriority w:val="99"/>
    <w:pPr>
      <w:ind w:firstLine="420"/>
    </w:pPr>
  </w:style>
  <w:style w:type="paragraph" w:customStyle="1" w:styleId="81">
    <w:name w:val="列出段落4"/>
    <w:basedOn w:val="1"/>
    <w:autoRedefine/>
    <w:qFormat/>
    <w:uiPriority w:val="0"/>
    <w:pPr>
      <w:ind w:firstLine="420"/>
    </w:pPr>
    <w:rPr>
      <w:rFonts w:ascii="Calibri" w:hAnsi="Calibri"/>
      <w:szCs w:val="22"/>
    </w:rPr>
  </w:style>
  <w:style w:type="paragraph" w:customStyle="1" w:styleId="82">
    <w:name w:val="WPSOffice手动目录 1"/>
    <w:autoRedefine/>
    <w:qFormat/>
    <w:uiPriority w:val="0"/>
    <w:rPr>
      <w:rFonts w:ascii="Times New Roman" w:hAnsi="Times New Roman" w:eastAsia="宋体" w:cs="Times New Roman"/>
      <w:lang w:val="en-US" w:eastAsia="zh-CN" w:bidi="ar-SA"/>
    </w:rPr>
  </w:style>
  <w:style w:type="paragraph" w:customStyle="1" w:styleId="83">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84">
    <w:name w:val="WPSOffice手动目录 3"/>
    <w:autoRedefine/>
    <w:qFormat/>
    <w:uiPriority w:val="0"/>
    <w:pPr>
      <w:ind w:left="400" w:leftChars="400"/>
    </w:pPr>
    <w:rPr>
      <w:rFonts w:ascii="Times New Roman" w:hAnsi="Times New Roman" w:eastAsia="宋体" w:cs="Times New Roman"/>
      <w:lang w:val="en-US" w:eastAsia="zh-CN" w:bidi="ar-SA"/>
    </w:rPr>
  </w:style>
  <w:style w:type="character" w:customStyle="1" w:styleId="85">
    <w:name w:val="批注框文本 字符"/>
    <w:basedOn w:val="39"/>
    <w:link w:val="23"/>
    <w:autoRedefine/>
    <w:qFormat/>
    <w:uiPriority w:val="0"/>
    <w:rPr>
      <w:rFonts w:eastAsia="仿宋"/>
      <w:kern w:val="2"/>
      <w:sz w:val="18"/>
      <w:szCs w:val="18"/>
    </w:rPr>
  </w:style>
  <w:style w:type="paragraph" w:customStyle="1" w:styleId="86">
    <w:name w:val="默认段落字体 Para Char Char Char Char Char Char Char"/>
    <w:basedOn w:val="1"/>
    <w:autoRedefine/>
    <w:qFormat/>
    <w:uiPriority w:val="0"/>
    <w:pPr>
      <w:spacing w:line="240" w:lineRule="auto"/>
      <w:ind w:firstLine="0" w:firstLineChars="0"/>
    </w:pPr>
    <w:rPr>
      <w:rFonts w:eastAsia="宋体"/>
      <w:sz w:val="21"/>
      <w:szCs w:val="20"/>
    </w:rPr>
  </w:style>
  <w:style w:type="character" w:customStyle="1" w:styleId="87">
    <w:name w:val="页脚 字符"/>
    <w:basedOn w:val="39"/>
    <w:link w:val="24"/>
    <w:autoRedefine/>
    <w:qFormat/>
    <w:uiPriority w:val="99"/>
    <w:rPr>
      <w:rFonts w:eastAsia="仿宋"/>
      <w:kern w:val="2"/>
      <w:sz w:val="18"/>
      <w:szCs w:val="18"/>
    </w:rPr>
  </w:style>
  <w:style w:type="character" w:customStyle="1" w:styleId="88">
    <w:name w:val="正文文本首行缩进 2 字符"/>
    <w:basedOn w:val="39"/>
    <w:link w:val="2"/>
    <w:autoRedefine/>
    <w:qFormat/>
    <w:uiPriority w:val="0"/>
    <w:rPr>
      <w:rFonts w:eastAsia="仿宋"/>
      <w:kern w:val="2"/>
      <w:sz w:val="24"/>
      <w:szCs w:val="24"/>
    </w:rPr>
  </w:style>
  <w:style w:type="paragraph" w:customStyle="1" w:styleId="89">
    <w:name w:val="列出段落1"/>
    <w:basedOn w:val="1"/>
    <w:autoRedefine/>
    <w:qFormat/>
    <w:uiPriority w:val="34"/>
    <w:pPr>
      <w:ind w:firstLine="420"/>
    </w:pPr>
  </w:style>
  <w:style w:type="paragraph" w:customStyle="1" w:styleId="90">
    <w:name w:val="Heading #1|1"/>
    <w:basedOn w:val="1"/>
    <w:autoRedefine/>
    <w:qFormat/>
    <w:uiPriority w:val="0"/>
    <w:pPr>
      <w:spacing w:after="380" w:line="533" w:lineRule="exact"/>
      <w:jc w:val="center"/>
      <w:outlineLvl w:val="0"/>
    </w:pPr>
    <w:rPr>
      <w:rFonts w:ascii="宋体" w:hAnsi="宋体" w:eastAsia="宋体" w:cs="宋体"/>
      <w:color w:val="0B3631"/>
      <w:sz w:val="32"/>
      <w:szCs w:val="32"/>
      <w:lang w:val="zh-TW" w:eastAsia="zh-TW" w:bidi="zh-TW"/>
    </w:rPr>
  </w:style>
  <w:style w:type="paragraph" w:customStyle="1" w:styleId="91">
    <w:name w:val="Heading #2|1"/>
    <w:basedOn w:val="1"/>
    <w:autoRedefine/>
    <w:qFormat/>
    <w:uiPriority w:val="0"/>
    <w:pPr>
      <w:outlineLvl w:val="1"/>
    </w:pPr>
    <w:rPr>
      <w:rFonts w:ascii="宋体" w:hAnsi="宋体" w:eastAsia="宋体" w:cs="宋体"/>
      <w:b/>
      <w:bCs/>
      <w:sz w:val="32"/>
      <w:szCs w:val="32"/>
      <w:lang w:val="zh-TW" w:eastAsia="zh-TW" w:bidi="zh-TW"/>
    </w:rPr>
  </w:style>
  <w:style w:type="paragraph" w:customStyle="1" w:styleId="92">
    <w:name w:val="Body text|1"/>
    <w:basedOn w:val="1"/>
    <w:autoRedefine/>
    <w:qFormat/>
    <w:uiPriority w:val="0"/>
    <w:pPr>
      <w:spacing w:after="320"/>
    </w:pPr>
    <w:rPr>
      <w:rFonts w:ascii="宋体" w:hAnsi="宋体" w:eastAsia="宋体" w:cs="宋体"/>
      <w:lang w:val="zh-TW" w:eastAsia="zh-TW" w:bidi="zh-TW"/>
    </w:rPr>
  </w:style>
  <w:style w:type="character" w:customStyle="1" w:styleId="93">
    <w:name w:val="font11"/>
    <w:basedOn w:val="39"/>
    <w:autoRedefine/>
    <w:qFormat/>
    <w:uiPriority w:val="0"/>
    <w:rPr>
      <w:rFonts w:hint="eastAsia" w:ascii="宋体" w:hAnsi="宋体" w:eastAsia="宋体" w:cs="宋体"/>
      <w:color w:val="000000"/>
      <w:sz w:val="22"/>
      <w:szCs w:val="22"/>
      <w:u w:val="none"/>
    </w:rPr>
  </w:style>
  <w:style w:type="character" w:customStyle="1" w:styleId="94">
    <w:name w:val="font01"/>
    <w:basedOn w:val="39"/>
    <w:autoRedefine/>
    <w:qFormat/>
    <w:uiPriority w:val="0"/>
    <w:rPr>
      <w:rFonts w:hint="default" w:ascii="Tahoma" w:hAnsi="Tahoma" w:eastAsia="Tahoma" w:cs="Tahoma"/>
      <w:color w:val="000000"/>
      <w:sz w:val="22"/>
      <w:szCs w:val="22"/>
      <w:u w:val="none"/>
    </w:rPr>
  </w:style>
  <w:style w:type="paragraph" w:customStyle="1" w:styleId="95">
    <w:name w:val="章正文"/>
    <w:basedOn w:val="1"/>
    <w:autoRedefine/>
    <w:qFormat/>
    <w:uiPriority w:val="99"/>
    <w:pPr>
      <w:spacing w:beforeLines="50" w:after="120" w:line="300" w:lineRule="auto"/>
      <w:ind w:firstLine="480"/>
    </w:pPr>
    <w:rPr>
      <w:rFonts w:ascii="Helvetica" w:hAnsi="Helvetica"/>
      <w:kern w:val="0"/>
    </w:rPr>
  </w:style>
  <w:style w:type="character" w:customStyle="1" w:styleId="96">
    <w:name w:val="标题 1 Char Char"/>
    <w:basedOn w:val="39"/>
    <w:autoRedefine/>
    <w:qFormat/>
    <w:uiPriority w:val="99"/>
    <w:rPr>
      <w:rFonts w:ascii="仿宋_GB2312" w:eastAsia="宋体" w:cs="Times New Roman"/>
      <w:spacing w:val="-2"/>
      <w:sz w:val="32"/>
      <w:lang w:val="en-US" w:eastAsia="zh-CN"/>
    </w:rPr>
  </w:style>
  <w:style w:type="paragraph" w:customStyle="1" w:styleId="97">
    <w:name w:val="+正文 Char Char Char"/>
    <w:basedOn w:val="1"/>
    <w:autoRedefine/>
    <w:qFormat/>
    <w:uiPriority w:val="0"/>
    <w:pPr>
      <w:ind w:firstLine="200"/>
    </w:pPr>
  </w:style>
  <w:style w:type="paragraph" w:customStyle="1" w:styleId="98">
    <w:name w:val="普通(网站)_0"/>
    <w:basedOn w:val="1"/>
    <w:autoRedefine/>
    <w:unhideWhenUsed/>
    <w:qFormat/>
    <w:uiPriority w:val="0"/>
    <w:pPr>
      <w:widowControl/>
      <w:spacing w:before="100" w:beforeAutospacing="1" w:after="100" w:afterAutospacing="1"/>
      <w:jc w:val="left"/>
    </w:pPr>
    <w:rPr>
      <w:rFonts w:ascii="宋体" w:hAnsi="宋体"/>
      <w:kern w:val="0"/>
      <w:szCs w:val="22"/>
    </w:rPr>
  </w:style>
  <w:style w:type="paragraph" w:customStyle="1" w:styleId="99">
    <w:name w:val="Fließtext"/>
    <w:basedOn w:val="1"/>
    <w:autoRedefine/>
    <w:qFormat/>
    <w:uiPriority w:val="0"/>
    <w:pPr>
      <w:tabs>
        <w:tab w:val="left" w:pos="482"/>
        <w:tab w:val="left" w:pos="2183"/>
        <w:tab w:val="left" w:pos="3884"/>
        <w:tab w:val="left" w:pos="5585"/>
      </w:tabs>
      <w:overflowPunct w:val="0"/>
      <w:autoSpaceDE w:val="0"/>
      <w:textAlignment w:val="baseline"/>
    </w:pPr>
    <w:rPr>
      <w:szCs w:val="20"/>
    </w:rPr>
  </w:style>
  <w:style w:type="table" w:customStyle="1" w:styleId="100">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01">
    <w:name w:val="新表格样式"/>
    <w:basedOn w:val="1"/>
    <w:autoRedefine/>
    <w:qFormat/>
    <w:uiPriority w:val="0"/>
    <w:pPr>
      <w:autoSpaceDE w:val="0"/>
      <w:autoSpaceDN w:val="0"/>
      <w:adjustRightInd w:val="0"/>
      <w:snapToGrid w:val="0"/>
      <w:jc w:val="center"/>
    </w:pPr>
    <w:rPr>
      <w:sz w:val="24"/>
      <w:szCs w:val="21"/>
    </w:rPr>
  </w:style>
  <w:style w:type="character" w:customStyle="1" w:styleId="102">
    <w:name w:val="font21"/>
    <w:basedOn w:val="39"/>
    <w:autoRedefine/>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7EA6CF-BF84-4F0A-91EC-E9AEA4342026}">
  <ds:schemaRefs/>
</ds:datastoreItem>
</file>

<file path=docProps/app.xml><?xml version="1.0" encoding="utf-8"?>
<Properties xmlns="http://schemas.openxmlformats.org/officeDocument/2006/extended-properties" xmlns:vt="http://schemas.openxmlformats.org/officeDocument/2006/docPropsVTypes">
  <Template>Normal.dotm</Template>
  <Manager>Abu设计</Manager>
  <Company>Abu设计</Company>
  <Pages>59</Pages>
  <Words>29221</Words>
  <Characters>31021</Characters>
  <Lines>274</Lines>
  <Paragraphs>77</Paragraphs>
  <TotalTime>1</TotalTime>
  <ScaleCrop>false</ScaleCrop>
  <LinksUpToDate>false</LinksUpToDate>
  <CharactersWithSpaces>32212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信纸</cp:category>
  <dcterms:created xsi:type="dcterms:W3CDTF">2023-03-01T03:53:00Z</dcterms:created>
  <dc:creator>Abu设计</dc:creator>
  <dc:description>更多Abu设计的信纸请访问
http://chn.docer.com/works?userid=415014680
谢谢支持</dc:description>
  <cp:keywords>信纸 信笺背景</cp:keywords>
  <cp:lastModifiedBy>Administrator</cp:lastModifiedBy>
  <cp:lastPrinted>2023-10-09T02:18:00Z</cp:lastPrinted>
  <dcterms:modified xsi:type="dcterms:W3CDTF">2025-03-18T09:02:04Z</dcterms:modified>
  <dc:subject>信纸</dc:subject>
  <dc:title>信纸-Abu设计</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7D3EDFD806344C4A8E3B037D4C119BE3_13</vt:lpwstr>
  </property>
</Properties>
</file>